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84" w:rsidRPr="001F64AF" w:rsidRDefault="00423284" w:rsidP="00612B8A">
      <w:pPr>
        <w:pStyle w:val="Heading1"/>
        <w:keepLines w:val="0"/>
        <w:spacing w:before="120" w:after="120"/>
        <w:contextualSpacing/>
        <w:rPr>
          <w:szCs w:val="24"/>
        </w:rPr>
      </w:pPr>
      <w:r w:rsidRPr="001F64AF">
        <w:rPr>
          <w:szCs w:val="24"/>
        </w:rPr>
        <w:t>Abstract</w:t>
      </w:r>
    </w:p>
    <w:p w:rsidR="00423284" w:rsidRPr="00FA6D2F" w:rsidRDefault="00D1791D" w:rsidP="00612B8A">
      <w:pPr>
        <w:spacing w:after="120"/>
        <w:contextualSpacing/>
        <w:rPr>
          <w:rFonts w:eastAsiaTheme="majorEastAsia" w:cstheme="minorHAnsi"/>
          <w:bCs/>
          <w:color w:val="000000" w:themeColor="accent1" w:themeShade="BF"/>
        </w:rPr>
      </w:pPr>
      <w:bookmarkStart w:id="0" w:name="OLE_LINK1"/>
      <w:bookmarkStart w:id="1" w:name="OLE_LINK2"/>
      <w:bookmarkStart w:id="2" w:name="OLE_LINK5"/>
      <w:r w:rsidRPr="00FA6D2F">
        <w:rPr>
          <w:rFonts w:eastAsiaTheme="majorEastAsia" w:cstheme="minorHAnsi"/>
          <w:bCs/>
          <w:color w:val="000000" w:themeColor="accent1" w:themeShade="BF"/>
        </w:rPr>
        <w:t xml:space="preserve">Across childhood and adolescence prosocial behaviour is consistently female-typed </w:t>
      </w:r>
      <w:r w:rsidRPr="00FA6D2F">
        <w:rPr>
          <w:rFonts w:eastAsiaTheme="majorEastAsia" w:cstheme="minorHAnsi"/>
          <w:bCs/>
          <w:color w:val="000000" w:themeColor="accent1" w:themeShade="BF"/>
        </w:rPr>
        <w:fldChar w:fldCharType="begin"/>
      </w:r>
      <w:r w:rsidR="00717A5F">
        <w:rPr>
          <w:rFonts w:eastAsiaTheme="majorEastAsia" w:cstheme="minorHAnsi"/>
          <w:bCs/>
          <w:color w:val="000000" w:themeColor="accent1" w:themeShade="BF"/>
        </w:rPr>
        <w:instrText xml:space="preserve"> ADDIN EN.CITE &lt;EndNote&gt;&lt;Cite&gt;&lt;Author&gt;Hine&lt;/Author&gt;&lt;Year&gt;2013&lt;/Year&gt;&lt;RecNum&gt;288&lt;/RecNum&gt;&lt;DisplayText&gt;(Eisenberg, Fabes, &amp;amp; Spinrad, 2006; Hine &amp;amp; Leman, 2013)&lt;/DisplayText&gt;&lt;record&gt;&lt;rec-number&gt;288&lt;/rec-number&gt;&lt;foreign-keys&gt;&lt;key app="EN" db-id="f5p9zd5zqsratqef5sv5pz2wpve092vrdw52"&gt;288&lt;/key&gt;&lt;/foreign-keys&gt;&lt;ref-type name="Book Section"&gt;5&lt;/ref-type&gt;&lt;contributors&gt;&lt;authors&gt;&lt;author&gt;Hine, B.&lt;/author&gt;&lt;author&gt;Leman, P. J.&lt;/author&gt;&lt;/authors&gt;&lt;secondary-authors&gt;&lt;author&gt;P. J. Leman&lt;/author&gt;&lt;author&gt;H. Tenenbaum&lt;/author&gt;&lt;/secondary-authors&gt;&lt;/contributors&gt;&lt;titles&gt;&lt;title&gt;The Developing Relationship between Gender and Prosocial Behavior&lt;/title&gt;&lt;secondary-title&gt;Gender and Development&lt;/secondary-title&gt;&lt;/titles&gt;&lt;dates&gt;&lt;year&gt;2013&lt;/year&gt;&lt;/dates&gt;&lt;pub-location&gt;Hove&lt;/pub-location&gt;&lt;publisher&gt;Psychology Press&lt;/publisher&gt;&lt;urls&gt;&lt;/urls&gt;&lt;/record&gt;&lt;/Cite&gt;&lt;Cite&gt;&lt;Author&gt;Eisenberg&lt;/Author&gt;&lt;Year&gt;2006&lt;/Year&gt;&lt;RecNum&gt;229&lt;/RecNum&gt;&lt;record&gt;&lt;rec-number&gt;229&lt;/rec-number&gt;&lt;foreign-keys&gt;&lt;key app="EN" db-id="f5p9zd5zqsratqef5sv5pz2wpve092vrdw52"&gt;229&lt;/key&gt;&lt;/foreign-keys&gt;&lt;ref-type name="Book Section"&gt;5&lt;/ref-type&gt;&lt;contributors&gt;&lt;authors&gt;&lt;author&gt;Eisenberg, N.&lt;/author&gt;&lt;author&gt;Fabes, R. A.&lt;/author&gt;&lt;author&gt;Spinrad, T. L.&lt;/author&gt;&lt;/authors&gt;&lt;secondary-authors&gt;&lt;author&gt;Eisenberg, N.&lt;/author&gt;&lt;/secondary-authors&gt;&lt;tertiary-authors&gt;&lt;author&gt;Damon, W.&lt;/author&gt;&lt;/tertiary-authors&gt;&lt;/contributors&gt;&lt;titles&gt;&lt;title&gt;Prosocial Development&lt;/title&gt;&lt;secondary-title&gt;Handbook of Child Psychology, Vol 3: Social, Emotional, and Personality Development&lt;/secondary-title&gt;&lt;/titles&gt;&lt;pages&gt;646-718&lt;/pages&gt;&lt;number&gt;6&lt;/number&gt;&lt;dates&gt;&lt;year&gt;2006&lt;/year&gt;&lt;/dates&gt;&lt;urls&gt;&lt;/urls&gt;&lt;/record&gt;&lt;/Cite&gt;&lt;/EndNote&gt;</w:instrText>
      </w:r>
      <w:r w:rsidRPr="00FA6D2F">
        <w:rPr>
          <w:rFonts w:eastAsiaTheme="majorEastAsia" w:cstheme="minorHAnsi"/>
          <w:bCs/>
          <w:color w:val="000000" w:themeColor="accent1" w:themeShade="BF"/>
        </w:rPr>
        <w:fldChar w:fldCharType="separate"/>
      </w:r>
      <w:r w:rsidR="00717A5F">
        <w:rPr>
          <w:rFonts w:eastAsiaTheme="majorEastAsia" w:cstheme="minorHAnsi"/>
          <w:bCs/>
          <w:noProof/>
          <w:color w:val="000000" w:themeColor="accent1" w:themeShade="BF"/>
        </w:rPr>
        <w:t>(</w:t>
      </w:r>
      <w:hyperlink w:anchor="_ENREF_10" w:tooltip="Eisenberg, 2006 #229" w:history="1">
        <w:r w:rsidR="00930389">
          <w:rPr>
            <w:rFonts w:eastAsiaTheme="majorEastAsia" w:cstheme="minorHAnsi"/>
            <w:bCs/>
            <w:noProof/>
            <w:color w:val="000000" w:themeColor="accent1" w:themeShade="BF"/>
          </w:rPr>
          <w:t>Eisenberg, Fabes, &amp; Spinrad, 2006</w:t>
        </w:r>
      </w:hyperlink>
      <w:r w:rsidR="00717A5F">
        <w:rPr>
          <w:rFonts w:eastAsiaTheme="majorEastAsia" w:cstheme="minorHAnsi"/>
          <w:bCs/>
          <w:noProof/>
          <w:color w:val="000000" w:themeColor="accent1" w:themeShade="BF"/>
        </w:rPr>
        <w:t xml:space="preserve">; </w:t>
      </w:r>
      <w:hyperlink w:anchor="_ENREF_21" w:tooltip="Hine, 2013 #288" w:history="1">
        <w:r w:rsidR="00930389">
          <w:rPr>
            <w:rFonts w:eastAsiaTheme="majorEastAsia" w:cstheme="minorHAnsi"/>
            <w:bCs/>
            <w:noProof/>
            <w:color w:val="000000" w:themeColor="accent1" w:themeShade="BF"/>
          </w:rPr>
          <w:t>Hine &amp; Leman, 2013</w:t>
        </w:r>
      </w:hyperlink>
      <w:r w:rsidR="00717A5F">
        <w:rPr>
          <w:rFonts w:eastAsiaTheme="majorEastAsia" w:cstheme="minorHAnsi"/>
          <w:bCs/>
          <w:noProof/>
          <w:color w:val="000000" w:themeColor="accent1" w:themeShade="BF"/>
        </w:rPr>
        <w:t>)</w:t>
      </w:r>
      <w:r w:rsidRPr="00FA6D2F">
        <w:rPr>
          <w:rFonts w:eastAsiaTheme="majorEastAsia" w:cstheme="minorHAnsi"/>
          <w:bCs/>
          <w:color w:val="000000" w:themeColor="accent1" w:themeShade="BF"/>
        </w:rPr>
        <w:fldChar w:fldCharType="end"/>
      </w:r>
      <w:r w:rsidR="00B06E84">
        <w:rPr>
          <w:rFonts w:eastAsiaTheme="majorEastAsia" w:cstheme="minorHAnsi"/>
          <w:bCs/>
          <w:color w:val="000000" w:themeColor="accent1" w:themeShade="BF"/>
        </w:rPr>
        <w:t>.</w:t>
      </w:r>
      <w:r w:rsidR="00324068">
        <w:rPr>
          <w:rFonts w:eastAsiaTheme="majorEastAsia" w:cstheme="minorHAnsi"/>
          <w:bCs/>
          <w:color w:val="000000" w:themeColor="accent1" w:themeShade="BF"/>
        </w:rPr>
        <w:t xml:space="preserve">  </w:t>
      </w:r>
      <w:r w:rsidRPr="00FA6D2F">
        <w:rPr>
          <w:rFonts w:eastAsiaTheme="majorEastAsia" w:cstheme="minorHAnsi"/>
          <w:bCs/>
          <w:color w:val="000000" w:themeColor="accent1" w:themeShade="BF"/>
        </w:rPr>
        <w:t>This is in contrast to patterns in adulthood suggesting that some prosocial behaviour</w:t>
      </w:r>
      <w:r w:rsidR="00FC0E86" w:rsidRPr="00FA6D2F">
        <w:rPr>
          <w:rFonts w:eastAsiaTheme="majorEastAsia" w:cstheme="minorHAnsi"/>
          <w:bCs/>
          <w:color w:val="000000" w:themeColor="accent1" w:themeShade="BF"/>
        </w:rPr>
        <w:t>, congruent with the male gender role,</w:t>
      </w:r>
      <w:r w:rsidRPr="00FA6D2F">
        <w:rPr>
          <w:rFonts w:eastAsiaTheme="majorEastAsia" w:cstheme="minorHAnsi"/>
          <w:bCs/>
          <w:color w:val="000000" w:themeColor="accent1" w:themeShade="BF"/>
        </w:rPr>
        <w:t xml:space="preserve"> </w:t>
      </w:r>
      <w:r w:rsidR="00FC0E86" w:rsidRPr="00FA6D2F">
        <w:rPr>
          <w:rFonts w:eastAsiaTheme="majorEastAsia" w:cstheme="minorHAnsi"/>
          <w:bCs/>
          <w:color w:val="000000" w:themeColor="accent1" w:themeShade="BF"/>
        </w:rPr>
        <w:t>is distinctly male-typed</w:t>
      </w:r>
      <w:r w:rsidRPr="00FA6D2F">
        <w:rPr>
          <w:rFonts w:eastAsiaTheme="majorEastAsia" w:cstheme="minorHAnsi"/>
          <w:bCs/>
          <w:color w:val="000000" w:themeColor="accent1" w:themeShade="BF"/>
        </w:rPr>
        <w:t xml:space="preserve"> </w:t>
      </w:r>
      <w:r w:rsidRPr="00FA6D2F">
        <w:rPr>
          <w:rFonts w:eastAsiaTheme="majorEastAsia" w:cstheme="minorHAnsi"/>
          <w:bCs/>
          <w:color w:val="000000" w:themeColor="accent1" w:themeShade="BF"/>
        </w:rPr>
        <w:fldChar w:fldCharType="begin"/>
      </w:r>
      <w:r w:rsidR="00F94F8C">
        <w:rPr>
          <w:rFonts w:eastAsiaTheme="majorEastAsia" w:cstheme="minorHAnsi"/>
          <w:bCs/>
          <w:color w:val="000000" w:themeColor="accent1" w:themeShade="BF"/>
        </w:rPr>
        <w:instrText xml:space="preserve"> ADDIN EN.CITE &lt;EndNote&gt;&lt;Cite&gt;&lt;Author&gt;Eagly&lt;/Author&gt;&lt;Year&gt;2009&lt;/Year&gt;&lt;RecNum&gt;105&lt;/RecNum&gt;&lt;DisplayText&gt;(Eagly, 2009)&lt;/DisplayText&gt;&lt;record&gt;&lt;rec-number&gt;105&lt;/rec-number&gt;&lt;foreign-keys&gt;&lt;key app="EN" db-id="f5p9zd5zqsratqef5sv5pz2wpve092vrdw52"&gt;105&lt;/key&gt;&lt;/foreign-keys&gt;&lt;ref-type name="Journal Article"&gt;17&lt;/ref-type&gt;&lt;contributors&gt;&lt;authors&gt;&lt;author&gt;Eagly, A. H.&lt;/author&gt;&lt;/authors&gt;&lt;/contributors&gt;&lt;titles&gt;&lt;title&gt;The His and Hers of Prosocial Behavior: An Examination of the Social Psychology of Gender&lt;/title&gt;&lt;secondary-title&gt;American Psychologist&lt;/secondary-title&gt;&lt;/titles&gt;&lt;periodical&gt;&lt;full-title&gt;American Psychologist&lt;/full-title&gt;&lt;/periodical&gt;&lt;pages&gt;644-658&lt;/pages&gt;&lt;volume&gt;64&lt;/volume&gt;&lt;dates&gt;&lt;year&gt;2009&lt;/year&gt;&lt;/dates&gt;&lt;urls&gt;&lt;/urls&gt;&lt;electronic-resource-num&gt;10.1037/0003-066X.64.8644&lt;/electronic-resource-num&gt;&lt;/record&gt;&lt;/Cite&gt;&lt;/EndNote&gt;</w:instrText>
      </w:r>
      <w:r w:rsidRPr="00FA6D2F">
        <w:rPr>
          <w:rFonts w:eastAsiaTheme="majorEastAsia" w:cstheme="minorHAnsi"/>
          <w:bCs/>
          <w:color w:val="000000" w:themeColor="accent1" w:themeShade="BF"/>
        </w:rPr>
        <w:fldChar w:fldCharType="separate"/>
      </w:r>
      <w:r w:rsidRPr="00FA6D2F">
        <w:rPr>
          <w:rFonts w:eastAsiaTheme="majorEastAsia" w:cstheme="minorHAnsi"/>
          <w:bCs/>
          <w:noProof/>
          <w:color w:val="000000" w:themeColor="accent1" w:themeShade="BF"/>
        </w:rPr>
        <w:t>(</w:t>
      </w:r>
      <w:hyperlink w:anchor="_ENREF_8" w:tooltip="Eagly, 2009 #105" w:history="1">
        <w:r w:rsidR="00930389" w:rsidRPr="00FA6D2F">
          <w:rPr>
            <w:rFonts w:eastAsiaTheme="majorEastAsia" w:cstheme="minorHAnsi"/>
            <w:bCs/>
            <w:noProof/>
            <w:color w:val="000000" w:themeColor="accent1" w:themeShade="BF"/>
          </w:rPr>
          <w:t>Eagly, 2009</w:t>
        </w:r>
      </w:hyperlink>
      <w:r w:rsidRPr="00FA6D2F">
        <w:rPr>
          <w:rFonts w:eastAsiaTheme="majorEastAsia" w:cstheme="minorHAnsi"/>
          <w:bCs/>
          <w:noProof/>
          <w:color w:val="000000" w:themeColor="accent1" w:themeShade="BF"/>
        </w:rPr>
        <w:t>)</w:t>
      </w:r>
      <w:r w:rsidRPr="00FA6D2F">
        <w:rPr>
          <w:rFonts w:eastAsiaTheme="majorEastAsia" w:cstheme="minorHAnsi"/>
          <w:bCs/>
          <w:color w:val="000000" w:themeColor="accent1" w:themeShade="BF"/>
        </w:rPr>
        <w:fldChar w:fldCharType="end"/>
      </w:r>
      <w:r w:rsidR="00B06E84">
        <w:rPr>
          <w:rFonts w:eastAsiaTheme="majorEastAsia" w:cstheme="minorHAnsi"/>
          <w:bCs/>
          <w:color w:val="000000" w:themeColor="accent1" w:themeShade="BF"/>
        </w:rPr>
        <w:t xml:space="preserve">.  </w:t>
      </w:r>
      <w:r w:rsidRPr="00FA6D2F">
        <w:rPr>
          <w:rFonts w:eastAsiaTheme="majorEastAsia" w:cstheme="minorHAnsi"/>
          <w:bCs/>
          <w:color w:val="000000" w:themeColor="accent1" w:themeShade="BF"/>
        </w:rPr>
        <w:t>This study investigated the gender-typing of prosocial behaviour in children and adolescents aged 9-19 years</w:t>
      </w:r>
      <w:r w:rsidR="00B06E84">
        <w:rPr>
          <w:rFonts w:eastAsiaTheme="majorEastAsia" w:cstheme="minorHAnsi"/>
          <w:bCs/>
          <w:color w:val="000000" w:themeColor="accent1" w:themeShade="BF"/>
        </w:rPr>
        <w:t xml:space="preserve">.  </w:t>
      </w:r>
      <w:r w:rsidR="00D045D2">
        <w:rPr>
          <w:rFonts w:eastAsiaTheme="majorEastAsia" w:cstheme="minorHAnsi"/>
          <w:bCs/>
          <w:color w:val="000000" w:themeColor="accent1" w:themeShade="BF"/>
        </w:rPr>
        <w:t>1189</w:t>
      </w:r>
      <w:r w:rsidR="00FC0E86" w:rsidRPr="00FA6D2F">
        <w:rPr>
          <w:rFonts w:eastAsiaTheme="majorEastAsia" w:cstheme="minorHAnsi"/>
          <w:bCs/>
          <w:color w:val="000000" w:themeColor="accent1" w:themeShade="BF"/>
        </w:rPr>
        <w:t xml:space="preserve"> p</w:t>
      </w:r>
      <w:r w:rsidRPr="00FA6D2F">
        <w:rPr>
          <w:rFonts w:eastAsiaTheme="majorEastAsia" w:cstheme="minorHAnsi"/>
          <w:bCs/>
          <w:color w:val="000000" w:themeColor="accent1" w:themeShade="BF"/>
        </w:rPr>
        <w:t>articipants rated 24 prosocial items on a 5-point masculinity/femininity scale</w:t>
      </w:r>
      <w:r w:rsidR="00B06E84">
        <w:rPr>
          <w:rFonts w:eastAsiaTheme="majorEastAsia" w:cstheme="minorHAnsi"/>
          <w:bCs/>
          <w:color w:val="000000" w:themeColor="accent1" w:themeShade="BF"/>
        </w:rPr>
        <w:t xml:space="preserve">.  </w:t>
      </w:r>
      <w:r w:rsidRPr="00FA6D2F">
        <w:rPr>
          <w:rFonts w:eastAsiaTheme="majorEastAsia" w:cstheme="minorHAnsi"/>
          <w:bCs/>
          <w:color w:val="000000" w:themeColor="accent1" w:themeShade="BF"/>
        </w:rPr>
        <w:t>Exploratory Factor Analysis revealed a distinct subset of seven behaviours</w:t>
      </w:r>
      <w:r w:rsidR="00FC0E86" w:rsidRPr="00FA6D2F">
        <w:rPr>
          <w:rFonts w:eastAsiaTheme="majorEastAsia" w:cstheme="minorHAnsi"/>
          <w:bCs/>
          <w:color w:val="000000" w:themeColor="accent1" w:themeShade="BF"/>
        </w:rPr>
        <w:t xml:space="preserve">, characterised by masculine qualities </w:t>
      </w:r>
      <w:r w:rsidRPr="00FA6D2F">
        <w:rPr>
          <w:rFonts w:eastAsiaTheme="majorEastAsia" w:cstheme="minorHAnsi"/>
          <w:bCs/>
          <w:color w:val="000000" w:themeColor="accent1" w:themeShade="BF"/>
        </w:rPr>
        <w:t>that loaded o</w:t>
      </w:r>
      <w:r w:rsidR="00324068">
        <w:rPr>
          <w:rFonts w:eastAsiaTheme="majorEastAsia" w:cstheme="minorHAnsi"/>
          <w:bCs/>
          <w:color w:val="000000" w:themeColor="accent1" w:themeShade="BF"/>
        </w:rPr>
        <w:t>nto a separate,</w:t>
      </w:r>
      <w:r w:rsidRPr="00FA6D2F">
        <w:rPr>
          <w:rFonts w:eastAsiaTheme="majorEastAsia" w:cstheme="minorHAnsi"/>
          <w:bCs/>
          <w:color w:val="000000" w:themeColor="accent1" w:themeShade="BF"/>
        </w:rPr>
        <w:t xml:space="preserve"> masculine factor</w:t>
      </w:r>
      <w:r w:rsidR="00B06E84">
        <w:rPr>
          <w:rFonts w:eastAsiaTheme="majorEastAsia" w:cstheme="minorHAnsi"/>
          <w:bCs/>
          <w:color w:val="000000" w:themeColor="accent1" w:themeShade="BF"/>
        </w:rPr>
        <w:t xml:space="preserve">.  </w:t>
      </w:r>
      <w:r w:rsidRPr="00FA6D2F">
        <w:rPr>
          <w:rFonts w:eastAsiaTheme="majorEastAsia" w:cstheme="minorHAnsi"/>
          <w:bCs/>
          <w:color w:val="000000" w:themeColor="accent1" w:themeShade="BF"/>
        </w:rPr>
        <w:t>Contrary to previous studies, these results suggest that male-typed prosocial behaviour, or a ‘male prosocial niche’, exists before adulthood.</w:t>
      </w:r>
    </w:p>
    <w:bookmarkEnd w:id="0"/>
    <w:bookmarkEnd w:id="1"/>
    <w:bookmarkEnd w:id="2"/>
    <w:p w:rsidR="00423284" w:rsidRPr="00FA6D2F" w:rsidRDefault="00423284" w:rsidP="00612B8A">
      <w:pPr>
        <w:spacing w:after="120"/>
        <w:contextualSpacing/>
        <w:rPr>
          <w:rFonts w:eastAsiaTheme="majorEastAsia" w:cstheme="minorHAnsi"/>
          <w:bCs/>
          <w:color w:val="000000" w:themeColor="accent1" w:themeShade="BF"/>
        </w:rPr>
      </w:pPr>
    </w:p>
    <w:p w:rsidR="00423284" w:rsidRPr="00FA6D2F" w:rsidRDefault="00423284" w:rsidP="00612B8A">
      <w:pPr>
        <w:spacing w:after="120"/>
        <w:contextualSpacing/>
        <w:rPr>
          <w:rFonts w:eastAsiaTheme="majorEastAsia" w:cstheme="minorHAnsi"/>
          <w:b/>
          <w:bCs/>
          <w:color w:val="000000" w:themeColor="accent1" w:themeShade="BF"/>
        </w:rPr>
      </w:pPr>
      <w:r w:rsidRPr="00FA6D2F">
        <w:rPr>
          <w:rFonts w:eastAsiaTheme="majorEastAsia" w:cstheme="minorHAnsi"/>
          <w:b/>
          <w:bCs/>
          <w:color w:val="000000" w:themeColor="accent1" w:themeShade="BF"/>
        </w:rPr>
        <w:t>Keywords</w:t>
      </w:r>
    </w:p>
    <w:p w:rsidR="00423284" w:rsidRPr="001F64AF" w:rsidRDefault="00717A5F" w:rsidP="00612B8A">
      <w:pPr>
        <w:spacing w:after="120"/>
        <w:contextualSpacing/>
        <w:rPr>
          <w:rFonts w:eastAsiaTheme="majorEastAsia" w:cstheme="minorHAnsi"/>
          <w:b/>
          <w:bCs/>
          <w:color w:val="000000" w:themeColor="accent1" w:themeShade="BF"/>
          <w:sz w:val="24"/>
          <w:szCs w:val="24"/>
        </w:rPr>
      </w:pPr>
      <w:bookmarkStart w:id="3" w:name="OLE_LINK3"/>
      <w:bookmarkStart w:id="4" w:name="OLE_LINK4"/>
      <w:r>
        <w:rPr>
          <w:rFonts w:eastAsiaTheme="majorEastAsia" w:cstheme="minorHAnsi"/>
          <w:bCs/>
          <w:color w:val="000000" w:themeColor="accent1" w:themeShade="BF"/>
        </w:rPr>
        <w:t>Stereotypes</w:t>
      </w:r>
      <w:r w:rsidR="00FF3923" w:rsidRPr="00FA6D2F">
        <w:rPr>
          <w:rFonts w:eastAsiaTheme="majorEastAsia" w:cstheme="minorHAnsi"/>
          <w:bCs/>
          <w:color w:val="000000" w:themeColor="accent1" w:themeShade="BF"/>
        </w:rPr>
        <w:t xml:space="preserve">, Femininity, Masculinity, </w:t>
      </w:r>
      <w:r w:rsidR="00D70BE8">
        <w:rPr>
          <w:rFonts w:eastAsiaTheme="majorEastAsia" w:cstheme="minorHAnsi"/>
          <w:bCs/>
          <w:color w:val="000000" w:themeColor="accent1" w:themeShade="BF"/>
        </w:rPr>
        <w:t xml:space="preserve">Gender </w:t>
      </w:r>
      <w:r>
        <w:rPr>
          <w:rFonts w:eastAsiaTheme="majorEastAsia" w:cstheme="minorHAnsi"/>
          <w:bCs/>
          <w:color w:val="000000" w:themeColor="accent1" w:themeShade="BF"/>
        </w:rPr>
        <w:t>Differences, Moral Behaviour</w:t>
      </w:r>
      <w:r w:rsidR="00FF3923" w:rsidRPr="00FA6D2F">
        <w:rPr>
          <w:rFonts w:eastAsiaTheme="majorEastAsia" w:cstheme="minorHAnsi"/>
          <w:bCs/>
          <w:color w:val="000000" w:themeColor="accent1" w:themeShade="BF"/>
        </w:rPr>
        <w:t xml:space="preserve"> </w:t>
      </w:r>
      <w:bookmarkEnd w:id="3"/>
      <w:bookmarkEnd w:id="4"/>
      <w:r w:rsidR="00423284" w:rsidRPr="001F64AF">
        <w:rPr>
          <w:rFonts w:eastAsiaTheme="majorEastAsia" w:cstheme="minorHAnsi"/>
          <w:b/>
          <w:bCs/>
          <w:color w:val="000000" w:themeColor="accent1" w:themeShade="BF"/>
          <w:sz w:val="24"/>
          <w:szCs w:val="24"/>
        </w:rPr>
        <w:br w:type="page"/>
      </w:r>
    </w:p>
    <w:p w:rsidR="00423284" w:rsidRPr="00826793" w:rsidRDefault="00423284" w:rsidP="00612B8A">
      <w:pPr>
        <w:pStyle w:val="Heading1"/>
        <w:keepLines w:val="0"/>
        <w:spacing w:before="120" w:after="120"/>
        <w:contextualSpacing/>
      </w:pPr>
      <w:r w:rsidRPr="00826793">
        <w:lastRenderedPageBreak/>
        <w:t>Introduction</w:t>
      </w:r>
    </w:p>
    <w:p w:rsidR="002C5ADC" w:rsidRDefault="00F45214" w:rsidP="00612B8A">
      <w:pPr>
        <w:pStyle w:val="Heading1"/>
        <w:keepLines w:val="0"/>
        <w:spacing w:before="120" w:after="120"/>
        <w:contextualSpacing/>
        <w:jc w:val="left"/>
        <w:rPr>
          <w:rFonts w:asciiTheme="minorHAnsi" w:eastAsiaTheme="minorHAnsi" w:hAnsiTheme="minorHAnsi" w:cstheme="minorBidi"/>
          <w:b w:val="0"/>
          <w:bCs w:val="0"/>
          <w:color w:val="auto"/>
          <w:sz w:val="22"/>
          <w:szCs w:val="22"/>
        </w:rPr>
      </w:pPr>
      <w:bookmarkStart w:id="5" w:name="_Toc348000450"/>
      <w:r>
        <w:rPr>
          <w:rFonts w:asciiTheme="minorHAnsi" w:eastAsiaTheme="minorHAnsi" w:hAnsiTheme="minorHAnsi" w:cstheme="minorBidi"/>
          <w:b w:val="0"/>
          <w:bCs w:val="0"/>
          <w:color w:val="auto"/>
          <w:sz w:val="22"/>
          <w:szCs w:val="22"/>
        </w:rPr>
        <w:t xml:space="preserve">Prosocial behaviour is defined as ‘voluntary behaviour </w:t>
      </w:r>
      <w:r w:rsidR="00D045D2">
        <w:rPr>
          <w:rFonts w:asciiTheme="minorHAnsi" w:eastAsiaTheme="minorHAnsi" w:hAnsiTheme="minorHAnsi" w:cstheme="minorBidi"/>
          <w:b w:val="0"/>
          <w:bCs w:val="0"/>
          <w:color w:val="auto"/>
          <w:sz w:val="22"/>
          <w:szCs w:val="22"/>
        </w:rPr>
        <w:t xml:space="preserve">that benefits </w:t>
      </w:r>
      <w:r w:rsidR="006959F6">
        <w:rPr>
          <w:rFonts w:asciiTheme="minorHAnsi" w:eastAsiaTheme="minorHAnsi" w:hAnsiTheme="minorHAnsi" w:cstheme="minorBidi"/>
          <w:b w:val="0"/>
          <w:bCs w:val="0"/>
          <w:color w:val="auto"/>
          <w:sz w:val="22"/>
          <w:szCs w:val="22"/>
        </w:rPr>
        <w:t xml:space="preserve">or promotes </w:t>
      </w:r>
      <w:bookmarkStart w:id="6" w:name="OLE_LINK6"/>
      <w:bookmarkStart w:id="7" w:name="OLE_LINK7"/>
      <w:r w:rsidR="006959F6">
        <w:rPr>
          <w:rFonts w:asciiTheme="minorHAnsi" w:eastAsiaTheme="minorHAnsi" w:hAnsiTheme="minorHAnsi" w:cstheme="minorBidi"/>
          <w:b w:val="0"/>
          <w:bCs w:val="0"/>
          <w:color w:val="auto"/>
          <w:sz w:val="22"/>
          <w:szCs w:val="22"/>
        </w:rPr>
        <w:t>harmonious relations with others’</w:t>
      </w:r>
      <w:r>
        <w:rPr>
          <w:rFonts w:asciiTheme="minorHAnsi" w:eastAsiaTheme="minorHAnsi" w:hAnsiTheme="minorHAnsi" w:cstheme="minorBidi"/>
          <w:b w:val="0"/>
          <w:bCs w:val="0"/>
          <w:color w:val="auto"/>
          <w:sz w:val="22"/>
          <w:szCs w:val="22"/>
        </w:rPr>
        <w:t xml:space="preserve"> </w:t>
      </w:r>
      <w:bookmarkEnd w:id="6"/>
      <w:bookmarkEnd w:id="7"/>
      <w:r>
        <w:rPr>
          <w:rFonts w:asciiTheme="minorHAnsi" w:eastAsiaTheme="minorHAnsi" w:hAnsiTheme="minorHAnsi" w:cstheme="minorBidi"/>
          <w:b w:val="0"/>
          <w:bCs w:val="0"/>
          <w:color w:val="auto"/>
          <w:sz w:val="22"/>
          <w:szCs w:val="22"/>
        </w:rPr>
        <w:fldChar w:fldCharType="begin">
          <w:fldData xml:space="preserve">PEVuZE5vdGU+PENpdGU+PEF1dGhvcj5FaXNlbmJlcmc8L0F1dGhvcj48WWVhcj4yMDA2PC9ZZWFy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</w:fldData>
        </w:fldChar>
      </w:r>
      <w:r w:rsidR="00FF2004">
        <w:rPr>
          <w:rFonts w:asciiTheme="minorHAnsi" w:eastAsiaTheme="minorHAnsi" w:hAnsiTheme="minorHAnsi" w:cstheme="minorBidi"/>
          <w:b w:val="0"/>
          <w:bCs w:val="0"/>
          <w:color w:val="auto"/>
          <w:sz w:val="22"/>
          <w:szCs w:val="22"/>
        </w:rPr>
        <w:instrText xml:space="preserve"> ADDIN EN.CITE </w:instrText>
      </w:r>
      <w:r w:rsidR="00FF2004">
        <w:rPr>
          <w:rFonts w:asciiTheme="minorHAnsi" w:eastAsiaTheme="minorHAnsi" w:hAnsiTheme="minorHAnsi" w:cstheme="minorBidi"/>
          <w:b w:val="0"/>
          <w:bCs w:val="0"/>
          <w:color w:val="auto"/>
          <w:sz w:val="22"/>
          <w:szCs w:val="22"/>
        </w:rPr>
        <w:fldChar w:fldCharType="begin">
          <w:fldData xml:space="preserve">PEVuZE5vdGU+PENpdGU+PEF1dGhvcj5FaXNlbmJlcmc8L0F1dGhvcj48WWVhcj4yMDA2PC9ZZWFy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</w:fldData>
        </w:fldChar>
      </w:r>
      <w:r w:rsidR="00FF2004">
        <w:rPr>
          <w:rFonts w:asciiTheme="minorHAnsi" w:eastAsiaTheme="minorHAnsi" w:hAnsiTheme="minorHAnsi" w:cstheme="minorBidi"/>
          <w:b w:val="0"/>
          <w:bCs w:val="0"/>
          <w:color w:val="auto"/>
          <w:sz w:val="22"/>
          <w:szCs w:val="22"/>
        </w:rPr>
        <w:instrText xml:space="preserve"> ADDIN EN.CITE.DATA </w:instrText>
      </w:r>
      <w:r w:rsidR="00FF2004">
        <w:rPr>
          <w:rFonts w:asciiTheme="minorHAnsi" w:eastAsiaTheme="minorHAnsi" w:hAnsiTheme="minorHAnsi" w:cstheme="minorBidi"/>
          <w:b w:val="0"/>
          <w:bCs w:val="0"/>
          <w:color w:val="auto"/>
          <w:sz w:val="22"/>
          <w:szCs w:val="22"/>
        </w:rPr>
      </w:r>
      <w:r w:rsidR="00FF2004">
        <w:rPr>
          <w:rFonts w:asciiTheme="minorHAnsi" w:eastAsiaTheme="minorHAnsi" w:hAnsiTheme="minorHAnsi" w:cstheme="minorBidi"/>
          <w:b w:val="0"/>
          <w:bCs w:val="0"/>
          <w:color w:val="auto"/>
          <w:sz w:val="22"/>
          <w:szCs w:val="22"/>
        </w:rPr>
        <w:fldChar w:fldCharType="end"/>
      </w:r>
      <w:r>
        <w:rPr>
          <w:rFonts w:asciiTheme="minorHAnsi" w:eastAsiaTheme="minorHAnsi" w:hAnsiTheme="minorHAnsi" w:cstheme="minorBidi"/>
          <w:b w:val="0"/>
          <w:bCs w:val="0"/>
          <w:color w:val="auto"/>
          <w:sz w:val="22"/>
          <w:szCs w:val="22"/>
        </w:rPr>
      </w:r>
      <w:r>
        <w:rPr>
          <w:rFonts w:asciiTheme="minorHAnsi" w:eastAsiaTheme="minorHAnsi" w:hAnsiTheme="minorHAnsi" w:cstheme="minorBidi"/>
          <w:b w:val="0"/>
          <w:bCs w:val="0"/>
          <w:color w:val="auto"/>
          <w:sz w:val="22"/>
          <w:szCs w:val="22"/>
        </w:rPr>
        <w:fldChar w:fldCharType="separate"/>
      </w:r>
      <w:r w:rsidR="006959F6">
        <w:rPr>
          <w:rFonts w:asciiTheme="minorHAnsi" w:eastAsiaTheme="minorHAnsi" w:hAnsiTheme="minorHAnsi" w:cstheme="minorBidi"/>
          <w:b w:val="0"/>
          <w:bCs w:val="0"/>
          <w:noProof/>
          <w:color w:val="auto"/>
          <w:sz w:val="22"/>
          <w:szCs w:val="22"/>
        </w:rPr>
        <w:t>(</w:t>
      </w:r>
      <w:hyperlink w:anchor="_ENREF_10" w:tooltip="Eisenberg, 2006 #229" w:history="1">
        <w:r w:rsidR="00930389">
          <w:rPr>
            <w:rFonts w:asciiTheme="minorHAnsi" w:eastAsiaTheme="minorHAnsi" w:hAnsiTheme="minorHAnsi" w:cstheme="minorBidi"/>
            <w:b w:val="0"/>
            <w:bCs w:val="0"/>
            <w:noProof/>
            <w:color w:val="auto"/>
            <w:sz w:val="22"/>
            <w:szCs w:val="22"/>
          </w:rPr>
          <w:t>Eisenberg, et al., 2006</w:t>
        </w:r>
      </w:hyperlink>
      <w:r w:rsidR="006959F6">
        <w:rPr>
          <w:rFonts w:asciiTheme="minorHAnsi" w:eastAsiaTheme="minorHAnsi" w:hAnsiTheme="minorHAnsi" w:cstheme="minorBidi"/>
          <w:b w:val="0"/>
          <w:bCs w:val="0"/>
          <w:noProof/>
          <w:color w:val="auto"/>
          <w:sz w:val="22"/>
          <w:szCs w:val="22"/>
        </w:rPr>
        <w:t xml:space="preserve">; </w:t>
      </w:r>
      <w:hyperlink w:anchor="_ENREF_11" w:tooltip="Eisenberg, 1987 #392" w:history="1">
        <w:r w:rsidR="00930389">
          <w:rPr>
            <w:rFonts w:asciiTheme="minorHAnsi" w:eastAsiaTheme="minorHAnsi" w:hAnsiTheme="minorHAnsi" w:cstheme="minorBidi"/>
            <w:b w:val="0"/>
            <w:bCs w:val="0"/>
            <w:noProof/>
            <w:color w:val="auto"/>
            <w:sz w:val="22"/>
            <w:szCs w:val="22"/>
          </w:rPr>
          <w:t>Eisenberg &amp; Miller, 1987</w:t>
        </w:r>
      </w:hyperlink>
      <w:r w:rsidR="006959F6">
        <w:rPr>
          <w:rFonts w:asciiTheme="minorHAnsi" w:eastAsiaTheme="minorHAnsi" w:hAnsiTheme="minorHAnsi" w:cstheme="minorBidi"/>
          <w:b w:val="0"/>
          <w:bCs w:val="0"/>
          <w:noProof/>
          <w:color w:val="auto"/>
          <w:sz w:val="22"/>
          <w:szCs w:val="22"/>
        </w:rPr>
        <w:t xml:space="preserve">; </w:t>
      </w:r>
      <w:hyperlink w:anchor="_ENREF_13" w:tooltip="Fabes, 1999 #100" w:history="1">
        <w:r w:rsidR="00930389">
          <w:rPr>
            <w:rFonts w:asciiTheme="minorHAnsi" w:eastAsiaTheme="minorHAnsi" w:hAnsiTheme="minorHAnsi" w:cstheme="minorBidi"/>
            <w:b w:val="0"/>
            <w:bCs w:val="0"/>
            <w:noProof/>
            <w:color w:val="auto"/>
            <w:sz w:val="22"/>
            <w:szCs w:val="22"/>
          </w:rPr>
          <w:t>Fabes, Carlo, Kupanoff, &amp; Laible, 1999</w:t>
        </w:r>
      </w:hyperlink>
      <w:r w:rsidR="006959F6">
        <w:rPr>
          <w:rFonts w:asciiTheme="minorHAnsi" w:eastAsiaTheme="minorHAnsi" w:hAnsiTheme="minorHAnsi" w:cstheme="minorBidi"/>
          <w:b w:val="0"/>
          <w:bCs w:val="0"/>
          <w:noProof/>
          <w:color w:val="auto"/>
          <w:sz w:val="22"/>
          <w:szCs w:val="22"/>
        </w:rPr>
        <w:t xml:space="preserve">; </w:t>
      </w:r>
      <w:hyperlink w:anchor="_ENREF_18" w:tooltip="Hay, 1994 #86" w:history="1">
        <w:r w:rsidR="00930389">
          <w:rPr>
            <w:rFonts w:asciiTheme="minorHAnsi" w:eastAsiaTheme="minorHAnsi" w:hAnsiTheme="minorHAnsi" w:cstheme="minorBidi"/>
            <w:b w:val="0"/>
            <w:bCs w:val="0"/>
            <w:noProof/>
            <w:color w:val="auto"/>
            <w:sz w:val="22"/>
            <w:szCs w:val="22"/>
          </w:rPr>
          <w:t>Hay, 1994</w:t>
        </w:r>
      </w:hyperlink>
      <w:r w:rsidR="006959F6">
        <w:rPr>
          <w:rFonts w:asciiTheme="minorHAnsi" w:eastAsiaTheme="minorHAnsi" w:hAnsiTheme="minorHAnsi" w:cstheme="minorBidi"/>
          <w:b w:val="0"/>
          <w:bCs w:val="0"/>
          <w:noProof/>
          <w:color w:val="auto"/>
          <w:sz w:val="22"/>
          <w:szCs w:val="22"/>
        </w:rPr>
        <w:t>)</w:t>
      </w:r>
      <w:r>
        <w:rPr>
          <w:rFonts w:asciiTheme="minorHAnsi" w:eastAsiaTheme="minorHAnsi" w:hAnsiTheme="minorHAnsi" w:cstheme="minorBidi"/>
          <w:b w:val="0"/>
          <w:bCs w:val="0"/>
          <w:color w:val="auto"/>
          <w:sz w:val="22"/>
          <w:szCs w:val="22"/>
        </w:rPr>
        <w:fldChar w:fldCharType="end"/>
      </w:r>
      <w:r w:rsidR="002C5ADC">
        <w:rPr>
          <w:rFonts w:asciiTheme="minorHAnsi" w:eastAsiaTheme="minorHAnsi" w:hAnsiTheme="minorHAnsi" w:cstheme="minorBidi"/>
          <w:b w:val="0"/>
          <w:bCs w:val="0"/>
          <w:color w:val="auto"/>
          <w:sz w:val="22"/>
          <w:szCs w:val="22"/>
        </w:rPr>
        <w:t xml:space="preserve"> and from as early as three years, most</w:t>
      </w:r>
      <w:r w:rsidR="0018428E">
        <w:rPr>
          <w:rFonts w:asciiTheme="minorHAnsi" w:eastAsiaTheme="minorHAnsi" w:hAnsiTheme="minorHAnsi" w:cstheme="minorBidi"/>
          <w:b w:val="0"/>
          <w:bCs w:val="0"/>
          <w:color w:val="auto"/>
          <w:sz w:val="22"/>
          <w:szCs w:val="22"/>
        </w:rPr>
        <w:t xml:space="preserve"> children recognise </w:t>
      </w:r>
      <w:r w:rsidR="002C5ADC" w:rsidRPr="00322318">
        <w:rPr>
          <w:rFonts w:asciiTheme="minorHAnsi" w:eastAsiaTheme="minorHAnsi" w:hAnsiTheme="minorHAnsi" w:cstheme="minorBidi"/>
          <w:b w:val="0"/>
          <w:bCs w:val="0"/>
          <w:color w:val="auto"/>
          <w:sz w:val="22"/>
          <w:szCs w:val="22"/>
        </w:rPr>
        <w:t xml:space="preserve">prosocial behaviours </w:t>
      </w:r>
      <w:r w:rsidR="0018428E">
        <w:rPr>
          <w:rFonts w:asciiTheme="minorHAnsi" w:eastAsiaTheme="minorHAnsi" w:hAnsiTheme="minorHAnsi" w:cstheme="minorBidi"/>
          <w:b w:val="0"/>
          <w:bCs w:val="0"/>
          <w:color w:val="auto"/>
          <w:sz w:val="22"/>
          <w:szCs w:val="22"/>
        </w:rPr>
        <w:t xml:space="preserve">as </w:t>
      </w:r>
      <w:r w:rsidR="002C5ADC" w:rsidRPr="00322318">
        <w:rPr>
          <w:rFonts w:asciiTheme="minorHAnsi" w:eastAsiaTheme="minorHAnsi" w:hAnsiTheme="minorHAnsi" w:cstheme="minorBidi"/>
          <w:b w:val="0"/>
          <w:bCs w:val="0"/>
          <w:color w:val="auto"/>
          <w:sz w:val="22"/>
          <w:szCs w:val="22"/>
        </w:rPr>
        <w:t>morally good</w:t>
      </w:r>
      <w:r w:rsidR="002C5ADC">
        <w:rPr>
          <w:rFonts w:asciiTheme="minorHAnsi" w:eastAsiaTheme="minorHAnsi" w:hAnsiTheme="minorHAnsi" w:cstheme="minorBidi"/>
          <w:b w:val="0"/>
          <w:bCs w:val="0"/>
          <w:color w:val="auto"/>
          <w:sz w:val="22"/>
          <w:szCs w:val="22"/>
        </w:rPr>
        <w:t xml:space="preserve"> </w:t>
      </w:r>
      <w:r w:rsidR="002C5ADC">
        <w:rPr>
          <w:rFonts w:asciiTheme="minorHAnsi" w:eastAsiaTheme="minorHAnsi" w:hAnsiTheme="minorHAnsi" w:cstheme="minorBidi"/>
          <w:b w:val="0"/>
          <w:bCs w:val="0"/>
          <w:color w:val="auto"/>
          <w:sz w:val="22"/>
          <w:szCs w:val="22"/>
        </w:rPr>
        <w:fldChar w:fldCharType="begin"/>
      </w:r>
      <w:r w:rsidR="00FF2004">
        <w:rPr>
          <w:rFonts w:asciiTheme="minorHAnsi" w:eastAsiaTheme="minorHAnsi" w:hAnsiTheme="minorHAnsi" w:cstheme="minorBidi"/>
          <w:b w:val="0"/>
          <w:bCs w:val="0"/>
          <w:color w:val="auto"/>
          <w:sz w:val="22"/>
          <w:szCs w:val="22"/>
        </w:rPr>
        <w:instrText xml:space="preserve"> ADDIN EN.CITE &lt;EndNote&gt;&lt;Cite&gt;&lt;Author&gt;Vaish&lt;/Author&gt;&lt;Year&gt;2011&lt;/Year&gt;&lt;RecNum&gt;174&lt;/RecNum&gt;&lt;DisplayText&gt;(Vaish, Missana, &amp;amp; Tomasello, 2011)&lt;/DisplayText&gt;&lt;record&gt;&lt;rec-number&gt;174&lt;/rec-number&gt;&lt;foreign-keys&gt;&lt;key app="EN" db-id="f5p9zd5zqsratqef5sv5pz2wpve092vrdw52"&gt;174&lt;/key&gt;&lt;/foreign-keys&gt;&lt;ref-type name="Journal Article"&gt;17&lt;/ref-type&gt;&lt;contributors&gt;&lt;authors&gt;&lt;author&gt;Vaish, A.&lt;/author&gt;&lt;author&gt;Missana, M.&lt;/author&gt;&lt;author&gt;Tomasello, M.&lt;/author&gt;&lt;/authors&gt;&lt;/contributors&gt;&lt;titles&gt;&lt;title&gt;Three-year-old children intervene in third-party moral transgressions&lt;/title&gt;&lt;secondary-title&gt;British Journal of Developmental Psychology&lt;/secondary-title&gt;&lt;/titles&gt;&lt;periodical&gt;&lt;full-title&gt;British Journal of Developmental Psychology&lt;/full-title&gt;&lt;/periodical&gt;&lt;pages&gt;124-130&lt;/pages&gt;&lt;volume&gt;29&lt;/volume&gt;&lt;dates&gt;&lt;year&gt;2011&lt;/year&gt;&lt;/dates&gt;&lt;urls&gt;&lt;/urls&gt;&lt;electronic-resource-num&gt;10.1348/026151010x532888&lt;/electronic-resource-num&gt;&lt;/record&gt;&lt;/Cite&gt;&lt;/EndNote&gt;</w:instrText>
      </w:r>
      <w:r w:rsidR="002C5ADC">
        <w:rPr>
          <w:rFonts w:asciiTheme="minorHAnsi" w:eastAsiaTheme="minorHAnsi" w:hAnsiTheme="minorHAnsi" w:cstheme="minorBidi"/>
          <w:b w:val="0"/>
          <w:bCs w:val="0"/>
          <w:color w:val="auto"/>
          <w:sz w:val="22"/>
          <w:szCs w:val="22"/>
        </w:rPr>
        <w:fldChar w:fldCharType="separate"/>
      </w:r>
      <w:r w:rsidR="002C5ADC">
        <w:rPr>
          <w:rFonts w:asciiTheme="minorHAnsi" w:eastAsiaTheme="minorHAnsi" w:hAnsiTheme="minorHAnsi" w:cstheme="minorBidi"/>
          <w:b w:val="0"/>
          <w:bCs w:val="0"/>
          <w:noProof/>
          <w:color w:val="auto"/>
          <w:sz w:val="22"/>
          <w:szCs w:val="22"/>
        </w:rPr>
        <w:t>(</w:t>
      </w:r>
      <w:hyperlink w:anchor="_ENREF_39" w:tooltip="Vaish, 2011 #174" w:history="1">
        <w:r w:rsidR="00930389">
          <w:rPr>
            <w:rFonts w:asciiTheme="minorHAnsi" w:eastAsiaTheme="minorHAnsi" w:hAnsiTheme="minorHAnsi" w:cstheme="minorBidi"/>
            <w:b w:val="0"/>
            <w:bCs w:val="0"/>
            <w:noProof/>
            <w:color w:val="auto"/>
            <w:sz w:val="22"/>
            <w:szCs w:val="22"/>
          </w:rPr>
          <w:t>Vaish, Missana, &amp; Tomasello, 2011</w:t>
        </w:r>
      </w:hyperlink>
      <w:r w:rsidR="002C5ADC">
        <w:rPr>
          <w:rFonts w:asciiTheme="minorHAnsi" w:eastAsiaTheme="minorHAnsi" w:hAnsiTheme="minorHAnsi" w:cstheme="minorBidi"/>
          <w:b w:val="0"/>
          <w:bCs w:val="0"/>
          <w:noProof/>
          <w:color w:val="auto"/>
          <w:sz w:val="22"/>
          <w:szCs w:val="22"/>
        </w:rPr>
        <w:t>)</w:t>
      </w:r>
      <w:r w:rsidR="002C5ADC">
        <w:rPr>
          <w:rFonts w:asciiTheme="minorHAnsi" w:eastAsiaTheme="minorHAnsi" w:hAnsiTheme="minorHAnsi" w:cstheme="minorBidi"/>
          <w:b w:val="0"/>
          <w:bCs w:val="0"/>
          <w:color w:val="auto"/>
          <w:sz w:val="22"/>
          <w:szCs w:val="22"/>
        </w:rPr>
        <w:fldChar w:fldCharType="end"/>
      </w:r>
      <w:r w:rsidR="00B06E84">
        <w:rPr>
          <w:rFonts w:asciiTheme="minorHAnsi" w:eastAsiaTheme="minorHAnsi" w:hAnsiTheme="minorHAnsi" w:cstheme="minorBidi"/>
          <w:b w:val="0"/>
          <w:bCs w:val="0"/>
          <w:color w:val="auto"/>
          <w:sz w:val="22"/>
          <w:szCs w:val="22"/>
        </w:rPr>
        <w:t xml:space="preserve">.  </w:t>
      </w:r>
      <w:r w:rsidR="00896A9A">
        <w:rPr>
          <w:rFonts w:asciiTheme="minorHAnsi" w:eastAsiaTheme="minorHAnsi" w:hAnsiTheme="minorHAnsi" w:cstheme="minorBidi"/>
          <w:b w:val="0"/>
          <w:bCs w:val="0"/>
          <w:color w:val="auto"/>
          <w:sz w:val="22"/>
          <w:szCs w:val="22"/>
        </w:rPr>
        <w:t xml:space="preserve">This is due to the fact that prosocial behaviours are predominantly moral actions, governed by moral rules concerning right and wrong </w:t>
      </w:r>
      <w:r w:rsidR="00896A9A">
        <w:rPr>
          <w:rFonts w:asciiTheme="minorHAnsi" w:eastAsiaTheme="minorHAnsi" w:hAnsiTheme="minorHAnsi" w:cstheme="minorBidi"/>
          <w:b w:val="0"/>
          <w:bCs w:val="0"/>
          <w:color w:val="auto"/>
          <w:sz w:val="22"/>
          <w:szCs w:val="22"/>
        </w:rPr>
        <w:fldChar w:fldCharType="begin"/>
      </w:r>
      <w:r w:rsidR="00896A9A">
        <w:rPr>
          <w:rFonts w:asciiTheme="minorHAnsi" w:eastAsiaTheme="minorHAnsi" w:hAnsiTheme="minorHAnsi" w:cstheme="minorBidi"/>
          <w:b w:val="0"/>
          <w:bCs w:val="0"/>
          <w:color w:val="auto"/>
          <w:sz w:val="22"/>
          <w:szCs w:val="22"/>
        </w:rPr>
        <w:instrText xml:space="preserve"> ADDIN EN.CITE &lt;EndNote&gt;&lt;Cite&gt;&lt;Author&gt;Turiel&lt;/Author&gt;&lt;Year&gt;1998&lt;/Year&gt;&lt;RecNum&gt;347&lt;/RecNum&gt;&lt;DisplayText&gt;(Smetana, 2006; Turiel, 1998)&lt;/DisplayText&gt;&lt;record&gt;&lt;rec-number&gt;347&lt;/rec-number&gt;&lt;foreign-keys&gt;&lt;key app="EN" db-id="f5p9zd5zqsratqef5sv5pz2wpve092vrdw52"&gt;347&lt;/key&gt;&lt;/foreign-keys&gt;&lt;ref-type name="Book Section"&gt;5&lt;/ref-type&gt;&lt;contributors&gt;&lt;authors&gt;&lt;author&gt;Turiel, E.&lt;/author&gt;&lt;/authors&gt;&lt;secondary-authors&gt;&lt;author&gt;N. Eisenberg&lt;/author&gt;&lt;/secondary-authors&gt;&lt;tertiary-authors&gt;&lt;author&gt;W. Damon&lt;/author&gt;&lt;/tertiary-authors&gt;&lt;/contributors&gt;&lt;titles&gt;&lt;title&gt;The development of morality&lt;/title&gt;&lt;secondary-title&gt;Handbook of child psychology: Vol. 3. Social, emotional, and personality development&lt;/secondary-title&gt;&lt;/titles&gt;&lt;pages&gt;863-932&lt;/pages&gt;&lt;edition&gt;5th&lt;/edition&gt;&lt;dates&gt;&lt;year&gt;1998&lt;/year&gt;&lt;/dates&gt;&lt;pub-location&gt;New York&lt;/pub-location&gt;&lt;publisher&gt;Wiley&lt;/publisher&gt;&lt;urls&gt;&lt;/urls&gt;&lt;/record&gt;&lt;/Cite&gt;&lt;Cite&gt;&lt;Author&gt;Smetana&lt;/Author&gt;&lt;Year&gt;2006&lt;/Year&gt;&lt;RecNum&gt;171&lt;/RecNum&gt;&lt;record&gt;&lt;rec-number&gt;171&lt;/rec-number&gt;&lt;foreign-keys&gt;&lt;key app="EN" db-id="f5p9zd5zqsratqef5sv5pz2wpve092vrdw52"&gt;171&lt;/key&gt;&lt;/foreign-keys&gt;&lt;ref-type name="Book Section"&gt;5&lt;/ref-type&gt;&lt;contributors&gt;&lt;authors&gt;&lt;author&gt;Smetana, J. G&lt;/author&gt;&lt;/authors&gt;&lt;secondary-authors&gt;&lt;author&gt;M. Killen&lt;/author&gt;&lt;author&gt;J. G. Smetana&lt;/author&gt;&lt;/secondary-authors&gt;&lt;/contributors&gt;&lt;titles&gt;&lt;title&gt;Social-Cognitive Domain Theory: Consistencies, and Variations in Children&amp;apos;s Moral and Social Judgments&lt;/title&gt;&lt;secondary-title&gt;Handbook of Moral Development&lt;/secondary-title&gt;&lt;/titles&gt;&lt;dates&gt;&lt;year&gt;2006&lt;/year&gt;&lt;/dates&gt;&lt;pub-location&gt;New York&lt;/pub-location&gt;&lt;publisher&gt;Academic&lt;/publisher&gt;&lt;urls&gt;&lt;/urls&gt;&lt;/record&gt;&lt;/Cite&gt;&lt;/EndNote&gt;</w:instrText>
      </w:r>
      <w:r w:rsidR="00896A9A">
        <w:rPr>
          <w:rFonts w:asciiTheme="minorHAnsi" w:eastAsiaTheme="minorHAnsi" w:hAnsiTheme="minorHAnsi" w:cstheme="minorBidi"/>
          <w:b w:val="0"/>
          <w:bCs w:val="0"/>
          <w:color w:val="auto"/>
          <w:sz w:val="22"/>
          <w:szCs w:val="22"/>
        </w:rPr>
        <w:fldChar w:fldCharType="separate"/>
      </w:r>
      <w:r w:rsidR="00896A9A">
        <w:rPr>
          <w:rFonts w:asciiTheme="minorHAnsi" w:eastAsiaTheme="minorHAnsi" w:hAnsiTheme="minorHAnsi" w:cstheme="minorBidi"/>
          <w:b w:val="0"/>
          <w:bCs w:val="0"/>
          <w:noProof/>
          <w:color w:val="auto"/>
          <w:sz w:val="22"/>
          <w:szCs w:val="22"/>
        </w:rPr>
        <w:t>(</w:t>
      </w:r>
      <w:hyperlink w:anchor="_ENREF_35" w:tooltip="Smetana, 2006 #171" w:history="1">
        <w:r w:rsidR="00930389">
          <w:rPr>
            <w:rFonts w:asciiTheme="minorHAnsi" w:eastAsiaTheme="minorHAnsi" w:hAnsiTheme="minorHAnsi" w:cstheme="minorBidi"/>
            <w:b w:val="0"/>
            <w:bCs w:val="0"/>
            <w:noProof/>
            <w:color w:val="auto"/>
            <w:sz w:val="22"/>
            <w:szCs w:val="22"/>
          </w:rPr>
          <w:t>Smetana, 2006</w:t>
        </w:r>
      </w:hyperlink>
      <w:r w:rsidR="00896A9A">
        <w:rPr>
          <w:rFonts w:asciiTheme="minorHAnsi" w:eastAsiaTheme="minorHAnsi" w:hAnsiTheme="minorHAnsi" w:cstheme="minorBidi"/>
          <w:b w:val="0"/>
          <w:bCs w:val="0"/>
          <w:noProof/>
          <w:color w:val="auto"/>
          <w:sz w:val="22"/>
          <w:szCs w:val="22"/>
        </w:rPr>
        <w:t xml:space="preserve">; </w:t>
      </w:r>
      <w:hyperlink w:anchor="_ENREF_38" w:tooltip="Turiel, 1998 #347" w:history="1">
        <w:r w:rsidR="00930389">
          <w:rPr>
            <w:rFonts w:asciiTheme="minorHAnsi" w:eastAsiaTheme="minorHAnsi" w:hAnsiTheme="minorHAnsi" w:cstheme="minorBidi"/>
            <w:b w:val="0"/>
            <w:bCs w:val="0"/>
            <w:noProof/>
            <w:color w:val="auto"/>
            <w:sz w:val="22"/>
            <w:szCs w:val="22"/>
          </w:rPr>
          <w:t>Turiel, 1998</w:t>
        </w:r>
      </w:hyperlink>
      <w:r w:rsidR="00896A9A">
        <w:rPr>
          <w:rFonts w:asciiTheme="minorHAnsi" w:eastAsiaTheme="minorHAnsi" w:hAnsiTheme="minorHAnsi" w:cstheme="minorBidi"/>
          <w:b w:val="0"/>
          <w:bCs w:val="0"/>
          <w:noProof/>
          <w:color w:val="auto"/>
          <w:sz w:val="22"/>
          <w:szCs w:val="22"/>
        </w:rPr>
        <w:t>)</w:t>
      </w:r>
      <w:r w:rsidR="00896A9A">
        <w:rPr>
          <w:rFonts w:asciiTheme="minorHAnsi" w:eastAsiaTheme="minorHAnsi" w:hAnsiTheme="minorHAnsi" w:cstheme="minorBidi"/>
          <w:b w:val="0"/>
          <w:bCs w:val="0"/>
          <w:color w:val="auto"/>
          <w:sz w:val="22"/>
          <w:szCs w:val="22"/>
        </w:rPr>
        <w:fldChar w:fldCharType="end"/>
      </w:r>
      <w:r w:rsidR="00B06E84">
        <w:rPr>
          <w:rFonts w:asciiTheme="minorHAnsi" w:eastAsiaTheme="minorHAnsi" w:hAnsiTheme="minorHAnsi" w:cstheme="minorBidi"/>
          <w:b w:val="0"/>
          <w:bCs w:val="0"/>
          <w:color w:val="auto"/>
          <w:sz w:val="22"/>
          <w:szCs w:val="22"/>
        </w:rPr>
        <w:t>.</w:t>
      </w:r>
      <w:r w:rsidR="00542E41">
        <w:rPr>
          <w:rFonts w:asciiTheme="minorHAnsi" w:eastAsiaTheme="minorHAnsi" w:hAnsiTheme="minorHAnsi" w:cstheme="minorBidi"/>
          <w:b w:val="0"/>
          <w:bCs w:val="0"/>
          <w:color w:val="auto"/>
          <w:sz w:val="22"/>
          <w:szCs w:val="22"/>
        </w:rPr>
        <w:t xml:space="preserve">  </w:t>
      </w:r>
      <w:r w:rsidR="00324068">
        <w:rPr>
          <w:rFonts w:asciiTheme="minorHAnsi" w:eastAsiaTheme="minorHAnsi" w:hAnsiTheme="minorHAnsi" w:cstheme="minorBidi"/>
          <w:b w:val="0"/>
          <w:bCs w:val="0"/>
          <w:color w:val="auto"/>
          <w:sz w:val="22"/>
          <w:szCs w:val="22"/>
        </w:rPr>
        <w:t>These actions are what</w:t>
      </w:r>
      <w:r w:rsidR="00542E41">
        <w:rPr>
          <w:rFonts w:asciiTheme="minorHAnsi" w:eastAsiaTheme="minorHAnsi" w:hAnsiTheme="minorHAnsi" w:cstheme="minorBidi"/>
          <w:b w:val="0"/>
          <w:bCs w:val="0"/>
          <w:color w:val="auto"/>
          <w:sz w:val="22"/>
          <w:szCs w:val="22"/>
        </w:rPr>
        <w:t xml:space="preserve"> Kant refe</w:t>
      </w:r>
      <w:r w:rsidR="004E09BE">
        <w:rPr>
          <w:rFonts w:asciiTheme="minorHAnsi" w:eastAsiaTheme="minorHAnsi" w:hAnsiTheme="minorHAnsi" w:cstheme="minorBidi"/>
          <w:b w:val="0"/>
          <w:bCs w:val="0"/>
          <w:color w:val="auto"/>
          <w:sz w:val="22"/>
          <w:szCs w:val="22"/>
        </w:rPr>
        <w:t xml:space="preserve">rred to as </w:t>
      </w:r>
      <w:r w:rsidR="00324068">
        <w:rPr>
          <w:rFonts w:asciiTheme="minorHAnsi" w:eastAsiaTheme="minorHAnsi" w:hAnsiTheme="minorHAnsi" w:cstheme="minorBidi"/>
          <w:b w:val="0"/>
          <w:bCs w:val="0"/>
          <w:color w:val="auto"/>
          <w:sz w:val="22"/>
          <w:szCs w:val="22"/>
        </w:rPr>
        <w:t>positive moral duties</w:t>
      </w:r>
      <w:r w:rsidR="00443FA6">
        <w:rPr>
          <w:rFonts w:asciiTheme="minorHAnsi" w:eastAsiaTheme="minorHAnsi" w:hAnsiTheme="minorHAnsi" w:cstheme="minorBidi"/>
          <w:b w:val="0"/>
          <w:bCs w:val="0"/>
          <w:color w:val="auto"/>
          <w:sz w:val="22"/>
          <w:szCs w:val="22"/>
        </w:rPr>
        <w:t>, governed by universal moral principles and which oblige action</w:t>
      </w:r>
      <w:r w:rsidR="00542E41">
        <w:rPr>
          <w:rFonts w:asciiTheme="minorHAnsi" w:eastAsiaTheme="minorHAnsi" w:hAnsiTheme="minorHAnsi" w:cstheme="minorBidi"/>
          <w:b w:val="0"/>
          <w:bCs w:val="0"/>
          <w:color w:val="auto"/>
          <w:sz w:val="22"/>
          <w:szCs w:val="22"/>
        </w:rPr>
        <w:t xml:space="preserve"> </w:t>
      </w:r>
      <w:r w:rsidR="00443FA6">
        <w:rPr>
          <w:rFonts w:asciiTheme="minorHAnsi" w:eastAsiaTheme="minorHAnsi" w:hAnsiTheme="minorHAnsi" w:cstheme="minorBidi"/>
          <w:b w:val="0"/>
          <w:bCs w:val="0"/>
          <w:color w:val="auto"/>
          <w:sz w:val="22"/>
          <w:szCs w:val="22"/>
        </w:rPr>
        <w:fldChar w:fldCharType="begin"/>
      </w:r>
      <w:r w:rsidR="00443FA6">
        <w:rPr>
          <w:rFonts w:asciiTheme="minorHAnsi" w:eastAsiaTheme="minorHAnsi" w:hAnsiTheme="minorHAnsi" w:cstheme="minorBidi"/>
          <w:b w:val="0"/>
          <w:bCs w:val="0"/>
          <w:color w:val="auto"/>
          <w:sz w:val="22"/>
          <w:szCs w:val="22"/>
        </w:rPr>
        <w:instrText xml:space="preserve"> ADDIN EN.CITE &lt;EndNote&gt;&lt;Cite&gt;&lt;Author&gt;Kant&lt;/Author&gt;&lt;Year&gt;2013&lt;/Year&gt;&lt;RecNum&gt;778&lt;/RecNum&gt;&lt;DisplayText&gt;(Kant, 2013)&lt;/DisplayText&gt;&lt;record&gt;&lt;rec-number&gt;778&lt;/rec-number&gt;&lt;foreign-keys&gt;&lt;key app="EN" db-id="f5p9zd5zqsratqef5sv5pz2wpve092vrdw52"&gt;778&lt;/key&gt;&lt;/foreign-keys&gt;&lt;ref-type name="Book Section"&gt;5&lt;/ref-type&gt;&lt;contributors&gt;&lt;authors&gt;&lt;author&gt;Kant, I.&lt;/author&gt;&lt;/authors&gt;&lt;secondary-authors&gt;&lt;author&gt;R. Shafer-Landau&lt;/author&gt;&lt;/secondary-authors&gt;&lt;/contributors&gt;&lt;titles&gt;&lt;title&gt;Ethical Theory: An Anthology&lt;/title&gt;&lt;secondary-title&gt;Ethical Theory: An Anthology&lt;/secondary-title&gt;&lt;/titles&gt;&lt;pages&gt;485-498&lt;/pages&gt;&lt;dates&gt;&lt;year&gt;2013&lt;/year&gt;&lt;/dates&gt;&lt;pub-location&gt;Oxford, OX&lt;/pub-location&gt;&lt;publisher&gt;John Wiley &amp;amp; Sons&lt;/publisher&gt;&lt;urls&gt;&lt;/urls&gt;&lt;/record&gt;&lt;/Cite&gt;&lt;/EndNote&gt;</w:instrText>
      </w:r>
      <w:r w:rsidR="00443FA6">
        <w:rPr>
          <w:rFonts w:asciiTheme="minorHAnsi" w:eastAsiaTheme="minorHAnsi" w:hAnsiTheme="minorHAnsi" w:cstheme="minorBidi"/>
          <w:b w:val="0"/>
          <w:bCs w:val="0"/>
          <w:color w:val="auto"/>
          <w:sz w:val="22"/>
          <w:szCs w:val="22"/>
        </w:rPr>
        <w:fldChar w:fldCharType="separate"/>
      </w:r>
      <w:r w:rsidR="00443FA6">
        <w:rPr>
          <w:rFonts w:asciiTheme="minorHAnsi" w:eastAsiaTheme="minorHAnsi" w:hAnsiTheme="minorHAnsi" w:cstheme="minorBidi"/>
          <w:b w:val="0"/>
          <w:bCs w:val="0"/>
          <w:noProof/>
          <w:color w:val="auto"/>
          <w:sz w:val="22"/>
          <w:szCs w:val="22"/>
        </w:rPr>
        <w:t>(</w:t>
      </w:r>
      <w:hyperlink w:anchor="_ENREF_25" w:tooltip="Kant, 2013 #778" w:history="1">
        <w:r w:rsidR="00930389">
          <w:rPr>
            <w:rFonts w:asciiTheme="minorHAnsi" w:eastAsiaTheme="minorHAnsi" w:hAnsiTheme="minorHAnsi" w:cstheme="minorBidi"/>
            <w:b w:val="0"/>
            <w:bCs w:val="0"/>
            <w:noProof/>
            <w:color w:val="auto"/>
            <w:sz w:val="22"/>
            <w:szCs w:val="22"/>
          </w:rPr>
          <w:t>Kant, 2013</w:t>
        </w:r>
      </w:hyperlink>
      <w:r w:rsidR="00443FA6">
        <w:rPr>
          <w:rFonts w:asciiTheme="minorHAnsi" w:eastAsiaTheme="minorHAnsi" w:hAnsiTheme="minorHAnsi" w:cstheme="minorBidi"/>
          <w:b w:val="0"/>
          <w:bCs w:val="0"/>
          <w:noProof/>
          <w:color w:val="auto"/>
          <w:sz w:val="22"/>
          <w:szCs w:val="22"/>
        </w:rPr>
        <w:t>)</w:t>
      </w:r>
      <w:r w:rsidR="00443FA6">
        <w:rPr>
          <w:rFonts w:asciiTheme="minorHAnsi" w:eastAsiaTheme="minorHAnsi" w:hAnsiTheme="minorHAnsi" w:cstheme="minorBidi"/>
          <w:b w:val="0"/>
          <w:bCs w:val="0"/>
          <w:color w:val="auto"/>
          <w:sz w:val="22"/>
          <w:szCs w:val="22"/>
        </w:rPr>
        <w:fldChar w:fldCharType="end"/>
      </w:r>
      <w:r w:rsidR="00443FA6">
        <w:rPr>
          <w:rFonts w:asciiTheme="minorHAnsi" w:eastAsiaTheme="minorHAnsi" w:hAnsiTheme="minorHAnsi" w:cstheme="minorBidi"/>
          <w:b w:val="0"/>
          <w:bCs w:val="0"/>
          <w:color w:val="auto"/>
          <w:sz w:val="22"/>
          <w:szCs w:val="22"/>
        </w:rPr>
        <w:t>.</w:t>
      </w:r>
      <w:r w:rsidR="00B06E84">
        <w:rPr>
          <w:rFonts w:asciiTheme="minorHAnsi" w:eastAsiaTheme="minorHAnsi" w:hAnsiTheme="minorHAnsi" w:cstheme="minorBidi"/>
          <w:b w:val="0"/>
          <w:bCs w:val="0"/>
          <w:color w:val="auto"/>
          <w:sz w:val="22"/>
          <w:szCs w:val="22"/>
        </w:rPr>
        <w:t xml:space="preserve">  </w:t>
      </w:r>
      <w:r w:rsidR="00896A9A">
        <w:rPr>
          <w:rFonts w:asciiTheme="minorHAnsi" w:eastAsiaTheme="minorHAnsi" w:hAnsiTheme="minorHAnsi" w:cstheme="minorBidi"/>
          <w:b w:val="0"/>
          <w:bCs w:val="0"/>
          <w:color w:val="auto"/>
          <w:sz w:val="22"/>
          <w:szCs w:val="22"/>
        </w:rPr>
        <w:t xml:space="preserve">Furthermore, whilst it is true that the motivations behind </w:t>
      </w:r>
      <w:r w:rsidR="002C5ADC">
        <w:rPr>
          <w:rFonts w:asciiTheme="minorHAnsi" w:eastAsiaTheme="minorHAnsi" w:hAnsiTheme="minorHAnsi" w:cstheme="minorBidi"/>
          <w:b w:val="0"/>
          <w:bCs w:val="0"/>
          <w:color w:val="auto"/>
          <w:sz w:val="22"/>
          <w:szCs w:val="22"/>
        </w:rPr>
        <w:t>prosociality</w:t>
      </w:r>
      <w:r w:rsidR="00896A9A">
        <w:rPr>
          <w:rFonts w:asciiTheme="minorHAnsi" w:eastAsiaTheme="minorHAnsi" w:hAnsiTheme="minorHAnsi" w:cstheme="minorBidi"/>
          <w:b w:val="0"/>
          <w:bCs w:val="0"/>
          <w:color w:val="auto"/>
          <w:sz w:val="22"/>
          <w:szCs w:val="22"/>
        </w:rPr>
        <w:t xml:space="preserve"> change </w:t>
      </w:r>
      <w:r w:rsidR="00BB502D">
        <w:rPr>
          <w:rFonts w:asciiTheme="minorHAnsi" w:eastAsiaTheme="minorHAnsi" w:hAnsiTheme="minorHAnsi" w:cstheme="minorBidi"/>
          <w:b w:val="0"/>
          <w:bCs w:val="0"/>
          <w:color w:val="auto"/>
          <w:sz w:val="22"/>
          <w:szCs w:val="22"/>
        </w:rPr>
        <w:t xml:space="preserve">for both boys and girls </w:t>
      </w:r>
      <w:r w:rsidR="00C65BCF">
        <w:rPr>
          <w:rFonts w:asciiTheme="minorHAnsi" w:eastAsiaTheme="minorHAnsi" w:hAnsiTheme="minorHAnsi" w:cstheme="minorBidi"/>
          <w:b w:val="0"/>
          <w:bCs w:val="0"/>
          <w:color w:val="auto"/>
          <w:sz w:val="22"/>
          <w:szCs w:val="22"/>
        </w:rPr>
        <w:t>with</w:t>
      </w:r>
      <w:r w:rsidR="00896A9A">
        <w:rPr>
          <w:rFonts w:asciiTheme="minorHAnsi" w:eastAsiaTheme="minorHAnsi" w:hAnsiTheme="minorHAnsi" w:cstheme="minorBidi"/>
          <w:b w:val="0"/>
          <w:bCs w:val="0"/>
          <w:color w:val="auto"/>
          <w:sz w:val="22"/>
          <w:szCs w:val="22"/>
        </w:rPr>
        <w:t xml:space="preserve"> age </w:t>
      </w:r>
      <w:r w:rsidR="00BB502D">
        <w:rPr>
          <w:rFonts w:asciiTheme="minorHAnsi" w:eastAsiaTheme="minorHAnsi" w:hAnsiTheme="minorHAnsi" w:cstheme="minorBidi"/>
          <w:b w:val="0"/>
          <w:bCs w:val="0"/>
          <w:color w:val="auto"/>
          <w:sz w:val="22"/>
          <w:szCs w:val="22"/>
        </w:rPr>
        <w:t xml:space="preserve">(from </w:t>
      </w:r>
      <w:r w:rsidR="00E31E0F">
        <w:rPr>
          <w:rFonts w:asciiTheme="minorHAnsi" w:eastAsiaTheme="minorHAnsi" w:hAnsiTheme="minorHAnsi" w:cstheme="minorBidi"/>
          <w:b w:val="0"/>
          <w:bCs w:val="0"/>
          <w:color w:val="auto"/>
          <w:sz w:val="22"/>
          <w:szCs w:val="22"/>
        </w:rPr>
        <w:t xml:space="preserve">broadly </w:t>
      </w:r>
      <w:r w:rsidR="00BB502D">
        <w:rPr>
          <w:rFonts w:asciiTheme="minorHAnsi" w:eastAsiaTheme="minorHAnsi" w:hAnsiTheme="minorHAnsi" w:cstheme="minorBidi"/>
          <w:b w:val="0"/>
          <w:bCs w:val="0"/>
          <w:color w:val="auto"/>
          <w:sz w:val="22"/>
          <w:szCs w:val="22"/>
        </w:rPr>
        <w:t>material</w:t>
      </w:r>
      <w:r w:rsidR="00EE43C7">
        <w:rPr>
          <w:rFonts w:asciiTheme="minorHAnsi" w:eastAsiaTheme="minorHAnsi" w:hAnsiTheme="minorHAnsi" w:cstheme="minorBidi"/>
          <w:b w:val="0"/>
          <w:bCs w:val="0"/>
          <w:color w:val="auto"/>
          <w:sz w:val="22"/>
          <w:szCs w:val="22"/>
        </w:rPr>
        <w:t xml:space="preserve">istic to altruistic motivations; Bar-Tal, </w:t>
      </w:r>
      <w:proofErr w:type="spellStart"/>
      <w:r w:rsidR="00EE43C7">
        <w:rPr>
          <w:rFonts w:asciiTheme="minorHAnsi" w:eastAsiaTheme="minorHAnsi" w:hAnsiTheme="minorHAnsi" w:cstheme="minorBidi"/>
          <w:b w:val="0"/>
          <w:bCs w:val="0"/>
          <w:color w:val="auto"/>
          <w:sz w:val="22"/>
          <w:szCs w:val="22"/>
        </w:rPr>
        <w:t>Rav</w:t>
      </w:r>
      <w:r w:rsidR="00EE43C7">
        <w:rPr>
          <w:rFonts w:asciiTheme="minorHAnsi" w:eastAsiaTheme="minorHAnsi" w:hAnsiTheme="minorHAnsi" w:cstheme="minorBidi"/>
          <w:b w:val="0"/>
          <w:bCs w:val="0"/>
          <w:color w:val="auto"/>
          <w:sz w:val="22"/>
          <w:szCs w:val="22"/>
        </w:rPr>
        <w:fldChar w:fldCharType="begin"/>
      </w:r>
      <w:r w:rsidR="00EE43C7">
        <w:rPr>
          <w:rFonts w:asciiTheme="minorHAnsi" w:eastAsiaTheme="minorHAnsi" w:hAnsiTheme="minorHAnsi" w:cstheme="minorBidi"/>
          <w:b w:val="0"/>
          <w:bCs w:val="0"/>
          <w:color w:val="auto"/>
          <w:sz w:val="22"/>
          <w:szCs w:val="22"/>
        </w:rPr>
        <w:instrText xml:space="preserve"> ADDIN EN.CITE &lt;EndNote&gt;&lt;Cite ExcludeAuth="1" ExcludeYear="1"&gt;&lt;Author&gt;Bar-Tal&lt;/Author&gt;&lt;Year&gt;1980&lt;/Year&gt;&lt;RecNum&gt;84&lt;/RecNum&gt;&lt;record&gt;&lt;rec-number&gt;84&lt;/rec-number&gt;&lt;foreign-keys&gt;&lt;key app="EN" db-id="f5p9zd5zqsratqef5sv5pz2wpve092vrdw52"&gt;84&lt;/key&gt;&lt;/foreign-keys&gt;&lt;ref-type name="Journal Article"&gt;17&lt;/ref-type&gt;&lt;contributors&gt;&lt;authors&gt;&lt;author&gt;Bar-Tal, D.&lt;/author&gt;&lt;author&gt;Raviv, A.&lt;/author&gt;&lt;author&gt;Leiser, T.&lt;/author&gt;&lt;/authors&gt;&lt;/contributors&gt;&lt;titles&gt;&lt;title&gt;The Developmental of Altruistic Behavior: Empirical Evidence&lt;/title&gt;&lt;secondary-title&gt;Developmental Psychology&lt;/secondary-title&gt;&lt;/titles&gt;&lt;periodical&gt;&lt;full-title&gt;Developmental Psychology&lt;/full-title&gt;&lt;/periodical&gt;&lt;pages&gt;516-524&lt;/pages&gt;&lt;volume&gt;16&lt;/volume&gt;&lt;dates&gt;&lt;year&gt;1980&lt;/year&gt;&lt;/dates&gt;&lt;urls&gt;&lt;/urls&gt;&lt;electronic-resource-num&gt;10.1037/0012-1649.16.5.516&lt;/electronic-resource-num&gt;&lt;/record&gt;&lt;/Cite&gt;&lt;/EndNote&gt;</w:instrText>
      </w:r>
      <w:r w:rsidR="00EE43C7">
        <w:rPr>
          <w:rFonts w:asciiTheme="minorHAnsi" w:eastAsiaTheme="minorHAnsi" w:hAnsiTheme="minorHAnsi" w:cstheme="minorBidi"/>
          <w:b w:val="0"/>
          <w:bCs w:val="0"/>
          <w:color w:val="auto"/>
          <w:sz w:val="22"/>
          <w:szCs w:val="22"/>
        </w:rPr>
        <w:fldChar w:fldCharType="end"/>
      </w:r>
      <w:r w:rsidR="00EE43C7">
        <w:rPr>
          <w:rFonts w:asciiTheme="minorHAnsi" w:eastAsiaTheme="minorHAnsi" w:hAnsiTheme="minorHAnsi" w:cstheme="minorBidi"/>
          <w:b w:val="0"/>
          <w:bCs w:val="0"/>
          <w:color w:val="auto"/>
          <w:sz w:val="22"/>
          <w:szCs w:val="22"/>
        </w:rPr>
        <w:t>iv</w:t>
      </w:r>
      <w:proofErr w:type="spellEnd"/>
      <w:r w:rsidR="00EE43C7">
        <w:rPr>
          <w:rFonts w:asciiTheme="minorHAnsi" w:eastAsiaTheme="minorHAnsi" w:hAnsiTheme="minorHAnsi" w:cstheme="minorBidi"/>
          <w:b w:val="0"/>
          <w:bCs w:val="0"/>
          <w:color w:val="auto"/>
          <w:sz w:val="22"/>
          <w:szCs w:val="22"/>
        </w:rPr>
        <w:t xml:space="preserve">, &amp; </w:t>
      </w:r>
      <w:proofErr w:type="spellStart"/>
      <w:r w:rsidR="00EE43C7">
        <w:rPr>
          <w:rFonts w:asciiTheme="minorHAnsi" w:eastAsiaTheme="minorHAnsi" w:hAnsiTheme="minorHAnsi" w:cstheme="minorBidi"/>
          <w:b w:val="0"/>
          <w:bCs w:val="0"/>
          <w:color w:val="auto"/>
          <w:sz w:val="22"/>
          <w:szCs w:val="22"/>
        </w:rPr>
        <w:t>Leiser</w:t>
      </w:r>
      <w:proofErr w:type="spellEnd"/>
      <w:r w:rsidR="00EE43C7">
        <w:rPr>
          <w:rFonts w:asciiTheme="minorHAnsi" w:eastAsiaTheme="minorHAnsi" w:hAnsiTheme="minorHAnsi" w:cstheme="minorBidi"/>
          <w:b w:val="0"/>
          <w:bCs w:val="0"/>
          <w:color w:val="auto"/>
          <w:sz w:val="22"/>
          <w:szCs w:val="22"/>
        </w:rPr>
        <w:t>, 1980)</w:t>
      </w:r>
      <w:r w:rsidR="00896A9A">
        <w:rPr>
          <w:rFonts w:asciiTheme="minorHAnsi" w:eastAsiaTheme="minorHAnsi" w:hAnsiTheme="minorHAnsi" w:cstheme="minorBidi"/>
          <w:b w:val="0"/>
          <w:bCs w:val="0"/>
          <w:color w:val="auto"/>
          <w:sz w:val="22"/>
          <w:szCs w:val="22"/>
        </w:rPr>
        <w:t xml:space="preserve"> </w:t>
      </w:r>
      <w:r w:rsidR="00C65BCF">
        <w:rPr>
          <w:rFonts w:asciiTheme="minorHAnsi" w:eastAsiaTheme="minorHAnsi" w:hAnsiTheme="minorHAnsi" w:cstheme="minorBidi"/>
          <w:b w:val="0"/>
          <w:bCs w:val="0"/>
          <w:color w:val="auto"/>
          <w:sz w:val="22"/>
          <w:szCs w:val="22"/>
        </w:rPr>
        <w:t xml:space="preserve">and across different contexts (for example, depending on relative cost; </w:t>
      </w:r>
      <w:proofErr w:type="spellStart"/>
      <w:r w:rsidR="00C65BCF">
        <w:rPr>
          <w:rFonts w:asciiTheme="minorHAnsi" w:eastAsiaTheme="minorHAnsi" w:hAnsiTheme="minorHAnsi" w:cstheme="minorBidi"/>
          <w:b w:val="0"/>
          <w:bCs w:val="0"/>
          <w:color w:val="auto"/>
          <w:sz w:val="22"/>
          <w:szCs w:val="22"/>
        </w:rPr>
        <w:t>Piliavin</w:t>
      </w:r>
      <w:proofErr w:type="spellEnd"/>
      <w:r w:rsidR="00C65BCF">
        <w:rPr>
          <w:rFonts w:asciiTheme="minorHAnsi" w:eastAsiaTheme="minorHAnsi" w:hAnsiTheme="minorHAnsi" w:cstheme="minorBidi"/>
          <w:b w:val="0"/>
          <w:bCs w:val="0"/>
          <w:color w:val="auto"/>
          <w:sz w:val="22"/>
          <w:szCs w:val="22"/>
        </w:rPr>
        <w:t xml:space="preserve">, et al., 1981), </w:t>
      </w:r>
      <w:r w:rsidR="009C4DE9">
        <w:rPr>
          <w:rFonts w:asciiTheme="minorHAnsi" w:eastAsiaTheme="minorHAnsi" w:hAnsiTheme="minorHAnsi" w:cstheme="minorBidi"/>
          <w:b w:val="0"/>
          <w:bCs w:val="0"/>
          <w:color w:val="auto"/>
          <w:sz w:val="22"/>
          <w:szCs w:val="22"/>
        </w:rPr>
        <w:t>prosocial behaviours are</w:t>
      </w:r>
      <w:r w:rsidR="002C5ADC">
        <w:rPr>
          <w:rFonts w:asciiTheme="minorHAnsi" w:eastAsiaTheme="minorHAnsi" w:hAnsiTheme="minorHAnsi" w:cstheme="minorBidi"/>
          <w:b w:val="0"/>
          <w:bCs w:val="0"/>
          <w:color w:val="auto"/>
          <w:sz w:val="22"/>
          <w:szCs w:val="22"/>
        </w:rPr>
        <w:t xml:space="preserve"> largely associated with developing positive traits and ‘good’  behaviour in children </w:t>
      </w:r>
      <w:r w:rsidR="002C5ADC">
        <w:rPr>
          <w:rFonts w:asciiTheme="minorHAnsi" w:eastAsiaTheme="minorHAnsi" w:hAnsiTheme="minorHAnsi" w:cstheme="minorBidi"/>
          <w:b w:val="0"/>
          <w:bCs w:val="0"/>
          <w:color w:val="auto"/>
          <w:sz w:val="22"/>
          <w:szCs w:val="22"/>
        </w:rPr>
        <w:fldChar w:fldCharType="begin"/>
      </w:r>
      <w:r w:rsidR="002C5ADC">
        <w:rPr>
          <w:rFonts w:asciiTheme="minorHAnsi" w:eastAsiaTheme="minorHAnsi" w:hAnsiTheme="minorHAnsi" w:cstheme="minorBidi"/>
          <w:b w:val="0"/>
          <w:bCs w:val="0"/>
          <w:color w:val="auto"/>
          <w:sz w:val="22"/>
          <w:szCs w:val="22"/>
        </w:rPr>
        <w:instrText xml:space="preserve"> ADDIN EN.CITE &lt;EndNote&gt;&lt;Cite&gt;&lt;Author&gt;Eisenberg&lt;/Author&gt;&lt;Year&gt;1989&lt;/Year&gt;&lt;RecNum&gt;121&lt;/RecNum&gt;&lt;DisplayText&gt;(Eisenberg &amp;amp; Mussen, 1989)&lt;/DisplayText&gt;&lt;record&gt;&lt;rec-number&gt;121&lt;/rec-number&gt;&lt;foreign-keys&gt;&lt;key app="EN" db-id="f5p9zd5zqsratqef5sv5pz2wpve092vrdw52"&gt;121&lt;/key&gt;&lt;/foreign-keys&gt;&lt;ref-type name="Book"&gt;6&lt;/ref-type&gt;&lt;contributors&gt;&lt;authors&gt;&lt;author&gt;Eisenberg, N.&lt;/author&gt;&lt;author&gt;Mussen, P. H.&lt;/author&gt;&lt;/authors&gt;&lt;/contributors&gt;&lt;titles&gt;&lt;title&gt;The Roots of Prosocial Behavior in Children&lt;/title&gt;&lt;/titles&gt;&lt;dates&gt;&lt;year&gt;1989&lt;/year&gt;&lt;/dates&gt;&lt;pub-location&gt;New York&lt;/pub-location&gt;&lt;publisher&gt;Cambridge University Press&lt;/publisher&gt;&lt;urls&gt;&lt;/urls&gt;&lt;/record&gt;&lt;/Cite&gt;&lt;/EndNote&gt;</w:instrText>
      </w:r>
      <w:r w:rsidR="002C5ADC">
        <w:rPr>
          <w:rFonts w:asciiTheme="minorHAnsi" w:eastAsiaTheme="minorHAnsi" w:hAnsiTheme="minorHAnsi" w:cstheme="minorBidi"/>
          <w:b w:val="0"/>
          <w:bCs w:val="0"/>
          <w:color w:val="auto"/>
          <w:sz w:val="22"/>
          <w:szCs w:val="22"/>
        </w:rPr>
        <w:fldChar w:fldCharType="separate"/>
      </w:r>
      <w:r w:rsidR="002C5ADC">
        <w:rPr>
          <w:rFonts w:asciiTheme="minorHAnsi" w:eastAsiaTheme="minorHAnsi" w:hAnsiTheme="minorHAnsi" w:cstheme="minorBidi"/>
          <w:b w:val="0"/>
          <w:bCs w:val="0"/>
          <w:noProof/>
          <w:color w:val="auto"/>
          <w:sz w:val="22"/>
          <w:szCs w:val="22"/>
        </w:rPr>
        <w:t>(</w:t>
      </w:r>
      <w:hyperlink w:anchor="_ENREF_12" w:tooltip="Eisenberg, 1989 #121" w:history="1">
        <w:r w:rsidR="00930389">
          <w:rPr>
            <w:rFonts w:asciiTheme="minorHAnsi" w:eastAsiaTheme="minorHAnsi" w:hAnsiTheme="minorHAnsi" w:cstheme="minorBidi"/>
            <w:b w:val="0"/>
            <w:bCs w:val="0"/>
            <w:noProof/>
            <w:color w:val="auto"/>
            <w:sz w:val="22"/>
            <w:szCs w:val="22"/>
          </w:rPr>
          <w:t>Eisenberg &amp; Mussen, 1989</w:t>
        </w:r>
      </w:hyperlink>
      <w:r w:rsidR="002C5ADC">
        <w:rPr>
          <w:rFonts w:asciiTheme="minorHAnsi" w:eastAsiaTheme="minorHAnsi" w:hAnsiTheme="minorHAnsi" w:cstheme="minorBidi"/>
          <w:b w:val="0"/>
          <w:bCs w:val="0"/>
          <w:noProof/>
          <w:color w:val="auto"/>
          <w:sz w:val="22"/>
          <w:szCs w:val="22"/>
        </w:rPr>
        <w:t>)</w:t>
      </w:r>
      <w:r w:rsidR="002C5ADC">
        <w:rPr>
          <w:rFonts w:asciiTheme="minorHAnsi" w:eastAsiaTheme="minorHAnsi" w:hAnsiTheme="minorHAnsi" w:cstheme="minorBidi"/>
          <w:b w:val="0"/>
          <w:bCs w:val="0"/>
          <w:color w:val="auto"/>
          <w:sz w:val="22"/>
          <w:szCs w:val="22"/>
        </w:rPr>
        <w:fldChar w:fldCharType="end"/>
      </w:r>
      <w:r w:rsidR="002C5ADC">
        <w:rPr>
          <w:rFonts w:asciiTheme="minorHAnsi" w:eastAsiaTheme="minorHAnsi" w:hAnsiTheme="minorHAnsi" w:cstheme="minorBidi"/>
          <w:b w:val="0"/>
          <w:bCs w:val="0"/>
          <w:color w:val="auto"/>
          <w:sz w:val="22"/>
          <w:szCs w:val="22"/>
        </w:rPr>
        <w:t xml:space="preserve"> and </w:t>
      </w:r>
      <w:r w:rsidR="009C4DE9">
        <w:rPr>
          <w:rFonts w:asciiTheme="minorHAnsi" w:eastAsiaTheme="minorHAnsi" w:hAnsiTheme="minorHAnsi" w:cstheme="minorBidi"/>
          <w:b w:val="0"/>
          <w:bCs w:val="0"/>
          <w:color w:val="auto"/>
          <w:sz w:val="22"/>
          <w:szCs w:val="22"/>
        </w:rPr>
        <w:t xml:space="preserve">are </w:t>
      </w:r>
      <w:r w:rsidR="002C5ADC">
        <w:rPr>
          <w:rFonts w:asciiTheme="minorHAnsi" w:eastAsiaTheme="minorHAnsi" w:hAnsiTheme="minorHAnsi" w:cstheme="minorBidi"/>
          <w:b w:val="0"/>
          <w:bCs w:val="0"/>
          <w:color w:val="auto"/>
          <w:sz w:val="22"/>
          <w:szCs w:val="22"/>
        </w:rPr>
        <w:t xml:space="preserve">recognised as </w:t>
      </w:r>
      <w:r w:rsidR="009C4DE9">
        <w:rPr>
          <w:rFonts w:asciiTheme="minorHAnsi" w:eastAsiaTheme="minorHAnsi" w:hAnsiTheme="minorHAnsi" w:cstheme="minorBidi"/>
          <w:b w:val="0"/>
          <w:bCs w:val="0"/>
          <w:color w:val="auto"/>
          <w:sz w:val="22"/>
          <w:szCs w:val="22"/>
        </w:rPr>
        <w:t xml:space="preserve">positive actions that are </w:t>
      </w:r>
      <w:r w:rsidR="002C5ADC">
        <w:rPr>
          <w:rFonts w:asciiTheme="minorHAnsi" w:eastAsiaTheme="minorHAnsi" w:hAnsiTheme="minorHAnsi" w:cstheme="minorBidi"/>
          <w:b w:val="0"/>
          <w:bCs w:val="0"/>
          <w:color w:val="auto"/>
          <w:sz w:val="22"/>
          <w:szCs w:val="22"/>
        </w:rPr>
        <w:t xml:space="preserve">central to the well-being of groups </w:t>
      </w:r>
      <w:r w:rsidR="002C5ADC">
        <w:rPr>
          <w:rFonts w:asciiTheme="minorHAnsi" w:eastAsiaTheme="minorHAnsi" w:hAnsiTheme="minorHAnsi" w:cstheme="minorBidi"/>
          <w:b w:val="0"/>
          <w:bCs w:val="0"/>
          <w:color w:val="auto"/>
          <w:sz w:val="22"/>
          <w:szCs w:val="22"/>
        </w:rPr>
        <w:fldChar w:fldCharType="begin"/>
      </w:r>
      <w:r w:rsidR="00FF2004">
        <w:rPr>
          <w:rFonts w:asciiTheme="minorHAnsi" w:eastAsiaTheme="minorHAnsi" w:hAnsiTheme="minorHAnsi" w:cstheme="minorBidi"/>
          <w:b w:val="0"/>
          <w:bCs w:val="0"/>
          <w:color w:val="auto"/>
          <w:sz w:val="22"/>
          <w:szCs w:val="22"/>
        </w:rPr>
        <w:instrText xml:space="preserve"> ADDIN EN.CITE &lt;EndNote&gt;&lt;Cite&gt;&lt;Author&gt;Helliwell&lt;/Author&gt;&lt;Year&gt;2004&lt;/Year&gt;&lt;RecNum&gt;728&lt;/RecNum&gt;&lt;DisplayText&gt;(Helliwell &amp;amp; Putnam, 2004)&lt;/DisplayText&gt;&lt;record&gt;&lt;rec-number&gt;728&lt;/rec-number&gt;&lt;foreign-keys&gt;&lt;key app="EN" db-id="f5p9zd5zqsratqef5sv5pz2wpve092vrdw52"&gt;728&lt;/key&gt;&lt;/foreign-keys&gt;&lt;ref-type name="Journal Article"&gt;17&lt;/ref-type&gt;&lt;contributors&gt;&lt;authors&gt;&lt;author&gt;Helliwell, J. F.&lt;/author&gt;&lt;author&gt;Putnam, R. D.&lt;/author&gt;&lt;/authors&gt;&lt;/contributors&gt;&lt;titles&gt;&lt;title&gt;The social context of well-being&lt;/title&gt;&lt;secondary-title&gt;Philosophical Transactions of the Royal Society B: Biological Sciences&lt;/secondary-title&gt;&lt;/titles&gt;&lt;periodical&gt;&lt;full-title&gt;Philosophical Transactions of the Royal Society B: Biological Sciences&lt;/full-title&gt;&lt;/periodical&gt;&lt;pages&gt;1435-1446&lt;/pages&gt;&lt;volume&gt;359&lt;/volume&gt;&lt;dates&gt;&lt;year&gt;2004&lt;/year&gt;&lt;/dates&gt;&lt;urls&gt;&lt;/urls&gt;&lt;electronic-resource-num&gt;10.1098/rstb.2004.1522&lt;/electronic-resource-num&gt;&lt;/record&gt;&lt;/Cite&gt;&lt;/EndNote&gt;</w:instrText>
      </w:r>
      <w:r w:rsidR="002C5ADC">
        <w:rPr>
          <w:rFonts w:asciiTheme="minorHAnsi" w:eastAsiaTheme="minorHAnsi" w:hAnsiTheme="minorHAnsi" w:cstheme="minorBidi"/>
          <w:b w:val="0"/>
          <w:bCs w:val="0"/>
          <w:color w:val="auto"/>
          <w:sz w:val="22"/>
          <w:szCs w:val="22"/>
        </w:rPr>
        <w:fldChar w:fldCharType="separate"/>
      </w:r>
      <w:r w:rsidR="002C5ADC">
        <w:rPr>
          <w:rFonts w:asciiTheme="minorHAnsi" w:eastAsiaTheme="minorHAnsi" w:hAnsiTheme="minorHAnsi" w:cstheme="minorBidi"/>
          <w:b w:val="0"/>
          <w:bCs w:val="0"/>
          <w:noProof/>
          <w:color w:val="auto"/>
          <w:sz w:val="22"/>
          <w:szCs w:val="22"/>
        </w:rPr>
        <w:t>(</w:t>
      </w:r>
      <w:hyperlink w:anchor="_ENREF_19" w:tooltip="Helliwell, 2004 #728" w:history="1">
        <w:r w:rsidR="00930389">
          <w:rPr>
            <w:rFonts w:asciiTheme="minorHAnsi" w:eastAsiaTheme="minorHAnsi" w:hAnsiTheme="minorHAnsi" w:cstheme="minorBidi"/>
            <w:b w:val="0"/>
            <w:bCs w:val="0"/>
            <w:noProof/>
            <w:color w:val="auto"/>
            <w:sz w:val="22"/>
            <w:szCs w:val="22"/>
          </w:rPr>
          <w:t>Helliwell &amp; Putnam, 2004</w:t>
        </w:r>
      </w:hyperlink>
      <w:r w:rsidR="002C5ADC">
        <w:rPr>
          <w:rFonts w:asciiTheme="minorHAnsi" w:eastAsiaTheme="minorHAnsi" w:hAnsiTheme="minorHAnsi" w:cstheme="minorBidi"/>
          <w:b w:val="0"/>
          <w:bCs w:val="0"/>
          <w:noProof/>
          <w:color w:val="auto"/>
          <w:sz w:val="22"/>
          <w:szCs w:val="22"/>
        </w:rPr>
        <w:t>)</w:t>
      </w:r>
      <w:r w:rsidR="002C5ADC">
        <w:rPr>
          <w:rFonts w:asciiTheme="minorHAnsi" w:eastAsiaTheme="minorHAnsi" w:hAnsiTheme="minorHAnsi" w:cstheme="minorBidi"/>
          <w:b w:val="0"/>
          <w:bCs w:val="0"/>
          <w:color w:val="auto"/>
          <w:sz w:val="22"/>
          <w:szCs w:val="22"/>
        </w:rPr>
        <w:fldChar w:fldCharType="end"/>
      </w:r>
      <w:r w:rsidR="00B06E84">
        <w:rPr>
          <w:rFonts w:asciiTheme="minorHAnsi" w:eastAsiaTheme="minorHAnsi" w:hAnsiTheme="minorHAnsi" w:cstheme="minorBidi"/>
          <w:b w:val="0"/>
          <w:bCs w:val="0"/>
          <w:color w:val="auto"/>
          <w:sz w:val="22"/>
          <w:szCs w:val="22"/>
        </w:rPr>
        <w:t xml:space="preserve">.  </w:t>
      </w:r>
    </w:p>
    <w:p w:rsidR="000B7D89" w:rsidRDefault="00612B8A" w:rsidP="00CB4F98">
      <w:pPr>
        <w:pStyle w:val="Heading1"/>
        <w:keepLines w:val="0"/>
        <w:spacing w:before="120" w:after="120"/>
        <w:ind w:firstLine="720"/>
        <w:contextualSpacing/>
        <w:jc w:val="left"/>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P</w:t>
      </w:r>
      <w:r w:rsidR="00322318" w:rsidRPr="00322318">
        <w:rPr>
          <w:rFonts w:asciiTheme="minorHAnsi" w:eastAsiaTheme="minorHAnsi" w:hAnsiTheme="minorHAnsi" w:cstheme="minorBidi"/>
          <w:b w:val="0"/>
          <w:bCs w:val="0"/>
          <w:color w:val="auto"/>
          <w:sz w:val="22"/>
          <w:szCs w:val="22"/>
        </w:rPr>
        <w:t xml:space="preserve">rosocial behaviour is </w:t>
      </w:r>
      <w:r w:rsidR="002C5ADC">
        <w:rPr>
          <w:rFonts w:asciiTheme="minorHAnsi" w:eastAsiaTheme="minorHAnsi" w:hAnsiTheme="minorHAnsi" w:cstheme="minorBidi"/>
          <w:b w:val="0"/>
          <w:bCs w:val="0"/>
          <w:color w:val="auto"/>
          <w:sz w:val="22"/>
          <w:szCs w:val="22"/>
        </w:rPr>
        <w:t xml:space="preserve">also </w:t>
      </w:r>
      <w:r w:rsidR="00322318">
        <w:rPr>
          <w:rFonts w:asciiTheme="minorHAnsi" w:eastAsiaTheme="minorHAnsi" w:hAnsiTheme="minorHAnsi" w:cstheme="minorBidi"/>
          <w:b w:val="0"/>
          <w:bCs w:val="0"/>
          <w:color w:val="auto"/>
          <w:sz w:val="22"/>
          <w:szCs w:val="22"/>
        </w:rPr>
        <w:t xml:space="preserve">consistently </w:t>
      </w:r>
      <w:r w:rsidR="00322318" w:rsidRPr="00322318">
        <w:rPr>
          <w:rFonts w:asciiTheme="minorHAnsi" w:eastAsiaTheme="minorHAnsi" w:hAnsiTheme="minorHAnsi" w:cstheme="minorBidi"/>
          <w:b w:val="0"/>
          <w:bCs w:val="0"/>
          <w:color w:val="auto"/>
          <w:sz w:val="22"/>
          <w:szCs w:val="22"/>
        </w:rPr>
        <w:t xml:space="preserve">stereotyped as more of a ‘girly’ thing to do </w:t>
      </w:r>
      <w:r w:rsidR="00322318" w:rsidRPr="00322318">
        <w:rPr>
          <w:rFonts w:asciiTheme="minorHAnsi" w:eastAsiaTheme="minorHAnsi" w:hAnsiTheme="minorHAnsi" w:cstheme="minorBidi"/>
          <w:b w:val="0"/>
          <w:bCs w:val="0"/>
          <w:color w:val="auto"/>
          <w:sz w:val="22"/>
          <w:szCs w:val="22"/>
        </w:rPr>
        <w:fldChar w:fldCharType="begin"/>
      </w:r>
      <w:r w:rsidR="002C5ADC">
        <w:rPr>
          <w:rFonts w:asciiTheme="minorHAnsi" w:eastAsiaTheme="minorHAnsi" w:hAnsiTheme="minorHAnsi" w:cstheme="minorBidi"/>
          <w:b w:val="0"/>
          <w:bCs w:val="0"/>
          <w:color w:val="auto"/>
          <w:sz w:val="22"/>
          <w:szCs w:val="22"/>
        </w:rPr>
        <w:instrText xml:space="preserve"> ADDIN EN.CITE &lt;EndNote&gt;&lt;Cite&gt;&lt;Author&gt;Eisenberg&lt;/Author&gt;&lt;Year&gt;2006&lt;/Year&gt;&lt;RecNum&gt;229&lt;/RecNum&gt;&lt;DisplayText&gt;(Eisenberg, et al., 2006; Eisenberg &amp;amp; Mussen, 1989)&lt;/DisplayText&gt;&lt;record&gt;&lt;rec-number&gt;229&lt;/rec-number&gt;&lt;foreign-keys&gt;&lt;key app="EN" db-id="f5p9zd5zqsratqef5sv5pz2wpve092vrdw52"&gt;229&lt;/key&gt;&lt;/foreign-keys&gt;&lt;ref-type name="Book Section"&gt;5&lt;/ref-type&gt;&lt;contributors&gt;&lt;authors&gt;&lt;author&gt;Eisenberg, N.&lt;/author&gt;&lt;author&gt;Fabes, R. A.&lt;/author&gt;&lt;author&gt;Spinrad, T. L.&lt;/author&gt;&lt;/authors&gt;&lt;secondary-authors&gt;&lt;author&gt;Eisenberg, N.&lt;/author&gt;&lt;/secondary-authors&gt;&lt;tertiary-authors&gt;&lt;author&gt;Damon, W.&lt;/author&gt;&lt;/tertiary-authors&gt;&lt;/contributors&gt;&lt;titles&gt;&lt;title&gt;Prosocial Development&lt;/title&gt;&lt;secondary-title&gt;Handbook of Child Psychology, Vol 3: Social, Emotional, and Personality Development&lt;/secondary-title&gt;&lt;/titles&gt;&lt;pages&gt;646-718&lt;/pages&gt;&lt;number&gt;6&lt;/number&gt;&lt;dates&gt;&lt;year&gt;2006&lt;/year&gt;&lt;/dates&gt;&lt;urls&gt;&lt;/urls&gt;&lt;/record&gt;&lt;/Cite&gt;&lt;Cite&gt;&lt;Author&gt;Eisenberg&lt;/Author&gt;&lt;Year&gt;1989&lt;/Year&gt;&lt;RecNum&gt;121&lt;/RecNum&gt;&lt;record&gt;&lt;rec-number&gt;121&lt;/rec-number&gt;&lt;foreign-keys&gt;&lt;key app="EN" db-id="f5p9zd5zqsratqef5sv5pz2wpve092vrdw52"&gt;121&lt;/key&gt;&lt;/foreign-keys&gt;&lt;ref-type name="Book"&gt;6&lt;/ref-type&gt;&lt;contributors&gt;&lt;authors&gt;&lt;author&gt;Eisenberg, N.&lt;/author&gt;&lt;author&gt;Mussen, P. H.&lt;/author&gt;&lt;/authors&gt;&lt;/contributors&gt;&lt;titles&gt;&lt;title&gt;The Roots of Prosocial Behavior in Children&lt;/title&gt;&lt;/titles&gt;&lt;dates&gt;&lt;year&gt;1989&lt;/year&gt;&lt;/dates&gt;&lt;pub-location&gt;New York&lt;/pub-location&gt;&lt;publisher&gt;Cambridge University Press&lt;/publisher&gt;&lt;urls&gt;&lt;/urls&gt;&lt;/record&gt;&lt;/Cite&gt;&lt;/EndNote&gt;</w:instrText>
      </w:r>
      <w:r w:rsidR="00322318" w:rsidRPr="00322318">
        <w:rPr>
          <w:rFonts w:asciiTheme="minorHAnsi" w:eastAsiaTheme="minorHAnsi" w:hAnsiTheme="minorHAnsi" w:cstheme="minorBidi"/>
          <w:b w:val="0"/>
          <w:bCs w:val="0"/>
          <w:color w:val="auto"/>
          <w:sz w:val="22"/>
          <w:szCs w:val="22"/>
        </w:rPr>
        <w:fldChar w:fldCharType="separate"/>
      </w:r>
      <w:r w:rsidR="002C5ADC">
        <w:rPr>
          <w:rFonts w:asciiTheme="minorHAnsi" w:eastAsiaTheme="minorHAnsi" w:hAnsiTheme="minorHAnsi" w:cstheme="minorBidi"/>
          <w:b w:val="0"/>
          <w:bCs w:val="0"/>
          <w:noProof/>
          <w:color w:val="auto"/>
          <w:sz w:val="22"/>
          <w:szCs w:val="22"/>
        </w:rPr>
        <w:t>(</w:t>
      </w:r>
      <w:hyperlink w:anchor="_ENREF_10" w:tooltip="Eisenberg, 2006 #229" w:history="1">
        <w:r w:rsidR="00930389">
          <w:rPr>
            <w:rFonts w:asciiTheme="minorHAnsi" w:eastAsiaTheme="minorHAnsi" w:hAnsiTheme="minorHAnsi" w:cstheme="minorBidi"/>
            <w:b w:val="0"/>
            <w:bCs w:val="0"/>
            <w:noProof/>
            <w:color w:val="auto"/>
            <w:sz w:val="22"/>
            <w:szCs w:val="22"/>
          </w:rPr>
          <w:t>Eisenberg, et al., 2006</w:t>
        </w:r>
      </w:hyperlink>
      <w:r w:rsidR="002C5ADC">
        <w:rPr>
          <w:rFonts w:asciiTheme="minorHAnsi" w:eastAsiaTheme="minorHAnsi" w:hAnsiTheme="minorHAnsi" w:cstheme="minorBidi"/>
          <w:b w:val="0"/>
          <w:bCs w:val="0"/>
          <w:noProof/>
          <w:color w:val="auto"/>
          <w:sz w:val="22"/>
          <w:szCs w:val="22"/>
        </w:rPr>
        <w:t xml:space="preserve">; </w:t>
      </w:r>
      <w:hyperlink w:anchor="_ENREF_12" w:tooltip="Eisenberg, 1989 #121" w:history="1">
        <w:r w:rsidR="00930389">
          <w:rPr>
            <w:rFonts w:asciiTheme="minorHAnsi" w:eastAsiaTheme="minorHAnsi" w:hAnsiTheme="minorHAnsi" w:cstheme="minorBidi"/>
            <w:b w:val="0"/>
            <w:bCs w:val="0"/>
            <w:noProof/>
            <w:color w:val="auto"/>
            <w:sz w:val="22"/>
            <w:szCs w:val="22"/>
          </w:rPr>
          <w:t>Eisenberg &amp; Mussen, 1989</w:t>
        </w:r>
      </w:hyperlink>
      <w:r w:rsidR="002C5ADC">
        <w:rPr>
          <w:rFonts w:asciiTheme="minorHAnsi" w:eastAsiaTheme="minorHAnsi" w:hAnsiTheme="minorHAnsi" w:cstheme="minorBidi"/>
          <w:b w:val="0"/>
          <w:bCs w:val="0"/>
          <w:noProof/>
          <w:color w:val="auto"/>
          <w:sz w:val="22"/>
          <w:szCs w:val="22"/>
        </w:rPr>
        <w:t>)</w:t>
      </w:r>
      <w:r w:rsidR="00322318" w:rsidRPr="00322318">
        <w:rPr>
          <w:rFonts w:asciiTheme="minorHAnsi" w:eastAsiaTheme="minorHAnsi" w:hAnsiTheme="minorHAnsi" w:cstheme="minorBidi"/>
          <w:b w:val="0"/>
          <w:bCs w:val="0"/>
          <w:color w:val="auto"/>
          <w:sz w:val="22"/>
          <w:szCs w:val="22"/>
        </w:rPr>
        <w:fldChar w:fldCharType="end"/>
      </w:r>
      <w:r w:rsidR="00F45214">
        <w:rPr>
          <w:rFonts w:asciiTheme="minorHAnsi" w:eastAsiaTheme="minorHAnsi" w:hAnsiTheme="minorHAnsi" w:cstheme="minorBidi"/>
          <w:b w:val="0"/>
          <w:bCs w:val="0"/>
          <w:color w:val="auto"/>
          <w:sz w:val="22"/>
          <w:szCs w:val="22"/>
        </w:rPr>
        <w:t>, despite</w:t>
      </w:r>
      <w:r w:rsidR="009C4DE9">
        <w:rPr>
          <w:rFonts w:asciiTheme="minorHAnsi" w:eastAsiaTheme="minorHAnsi" w:hAnsiTheme="minorHAnsi" w:cstheme="minorBidi"/>
          <w:b w:val="0"/>
          <w:bCs w:val="0"/>
          <w:color w:val="auto"/>
          <w:sz w:val="22"/>
          <w:szCs w:val="22"/>
        </w:rPr>
        <w:t xml:space="preserve"> this</w:t>
      </w:r>
      <w:r w:rsidR="00F45214">
        <w:rPr>
          <w:rFonts w:asciiTheme="minorHAnsi" w:eastAsiaTheme="minorHAnsi" w:hAnsiTheme="minorHAnsi" w:cstheme="minorBidi"/>
          <w:b w:val="0"/>
          <w:bCs w:val="0"/>
          <w:color w:val="auto"/>
          <w:sz w:val="22"/>
          <w:szCs w:val="22"/>
        </w:rPr>
        <w:t xml:space="preserve"> moral label</w:t>
      </w:r>
      <w:r w:rsidR="00B06E84">
        <w:rPr>
          <w:rFonts w:asciiTheme="minorHAnsi" w:eastAsiaTheme="minorHAnsi" w:hAnsiTheme="minorHAnsi" w:cstheme="minorBidi"/>
          <w:b w:val="0"/>
          <w:bCs w:val="0"/>
          <w:color w:val="auto"/>
          <w:sz w:val="22"/>
          <w:szCs w:val="22"/>
        </w:rPr>
        <w:t xml:space="preserve">.  </w:t>
      </w:r>
      <w:r w:rsidR="00322318" w:rsidRPr="00322318">
        <w:rPr>
          <w:rFonts w:asciiTheme="minorHAnsi" w:eastAsiaTheme="minorHAnsi" w:hAnsiTheme="minorHAnsi" w:cstheme="minorBidi"/>
          <w:b w:val="0"/>
          <w:bCs w:val="0"/>
          <w:color w:val="auto"/>
          <w:sz w:val="22"/>
          <w:szCs w:val="22"/>
        </w:rPr>
        <w:t xml:space="preserve">Children and adolescents </w:t>
      </w:r>
      <w:r w:rsidR="00FF3923">
        <w:rPr>
          <w:rFonts w:asciiTheme="minorHAnsi" w:eastAsiaTheme="minorHAnsi" w:hAnsiTheme="minorHAnsi" w:cstheme="minorBidi"/>
          <w:b w:val="0"/>
          <w:bCs w:val="0"/>
          <w:color w:val="auto"/>
          <w:sz w:val="22"/>
          <w:szCs w:val="22"/>
        </w:rPr>
        <w:t>rate</w:t>
      </w:r>
      <w:r w:rsidR="00322318" w:rsidRPr="00322318">
        <w:rPr>
          <w:rFonts w:asciiTheme="minorHAnsi" w:eastAsiaTheme="minorHAnsi" w:hAnsiTheme="minorHAnsi" w:cstheme="minorBidi"/>
          <w:b w:val="0"/>
          <w:bCs w:val="0"/>
          <w:color w:val="auto"/>
          <w:sz w:val="22"/>
          <w:szCs w:val="22"/>
        </w:rPr>
        <w:t xml:space="preserve"> girls as more likely to be prosocial as a gender group</w:t>
      </w:r>
      <w:r w:rsidR="00013C17">
        <w:rPr>
          <w:rFonts w:asciiTheme="minorHAnsi" w:eastAsiaTheme="minorHAnsi" w:hAnsiTheme="minorHAnsi" w:cstheme="minorBidi"/>
          <w:b w:val="0"/>
          <w:bCs w:val="0"/>
          <w:color w:val="auto"/>
          <w:sz w:val="22"/>
          <w:szCs w:val="22"/>
        </w:rPr>
        <w:t xml:space="preserve"> </w:t>
      </w:r>
      <w:r w:rsidR="00013C17">
        <w:rPr>
          <w:rFonts w:asciiTheme="minorHAnsi" w:eastAsiaTheme="minorHAnsi" w:hAnsiTheme="minorHAnsi" w:cstheme="minorBidi"/>
          <w:b w:val="0"/>
          <w:bCs w:val="0"/>
          <w:color w:val="auto"/>
          <w:sz w:val="22"/>
          <w:szCs w:val="22"/>
        </w:rPr>
        <w:fldChar w:fldCharType="begin"/>
      </w:r>
      <w:r w:rsidR="00013C17">
        <w:rPr>
          <w:rFonts w:asciiTheme="minorHAnsi" w:eastAsiaTheme="minorHAnsi" w:hAnsiTheme="minorHAnsi" w:cstheme="minorBidi"/>
          <w:b w:val="0"/>
          <w:bCs w:val="0"/>
          <w:color w:val="auto"/>
          <w:sz w:val="22"/>
          <w:szCs w:val="22"/>
        </w:rPr>
        <w:instrText xml:space="preserve"> ADDIN EN.CITE &lt;EndNote&gt;&lt;Cite&gt;&lt;Author&gt;Hine&lt;/Author&gt;&lt;Year&gt;2013&lt;/Year&gt;&lt;RecNum&gt;288&lt;/RecNum&gt;&lt;DisplayText&gt;(Hine &amp;amp; Leman, 2013)&lt;/DisplayText&gt;&lt;record&gt;&lt;rec-number&gt;288&lt;/rec-number&gt;&lt;foreign-keys&gt;&lt;key app="EN" db-id="f5p9zd5zqsratqef5sv5pz2wpve092vrdw52"&gt;288&lt;/key&gt;&lt;/foreign-keys&gt;&lt;ref-type name="Book Section"&gt;5&lt;/ref-type&gt;&lt;contributors&gt;&lt;authors&gt;&lt;author&gt;Hine, B.&lt;/author&gt;&lt;author&gt;Leman, P. J.&lt;/author&gt;&lt;/authors&gt;&lt;secondary-authors&gt;&lt;author&gt;P. J. Leman&lt;/author&gt;&lt;author&gt;H. Tenenbaum&lt;/author&gt;&lt;/secondary-authors&gt;&lt;/contributors&gt;&lt;titles&gt;&lt;title&gt;The Developing Relationship between Gender and Prosocial Behavior&lt;/title&gt;&lt;secondary-title&gt;Gender and Development&lt;/secondary-title&gt;&lt;/titles&gt;&lt;dates&gt;&lt;year&gt;2013&lt;/year&gt;&lt;/dates&gt;&lt;pub-location&gt;Hove&lt;/pub-location&gt;&lt;publisher&gt;Psychology Press&lt;/publisher&gt;&lt;urls&gt;&lt;/urls&gt;&lt;/record&gt;&lt;/Cite&gt;&lt;/EndNote&gt;</w:instrText>
      </w:r>
      <w:r w:rsidR="00013C17">
        <w:rPr>
          <w:rFonts w:asciiTheme="minorHAnsi" w:eastAsiaTheme="minorHAnsi" w:hAnsiTheme="minorHAnsi" w:cstheme="minorBidi"/>
          <w:b w:val="0"/>
          <w:bCs w:val="0"/>
          <w:color w:val="auto"/>
          <w:sz w:val="22"/>
          <w:szCs w:val="22"/>
        </w:rPr>
        <w:fldChar w:fldCharType="separate"/>
      </w:r>
      <w:r w:rsidR="00013C17">
        <w:rPr>
          <w:rFonts w:asciiTheme="minorHAnsi" w:eastAsiaTheme="minorHAnsi" w:hAnsiTheme="minorHAnsi" w:cstheme="minorBidi"/>
          <w:b w:val="0"/>
          <w:bCs w:val="0"/>
          <w:noProof/>
          <w:color w:val="auto"/>
          <w:sz w:val="22"/>
          <w:szCs w:val="22"/>
        </w:rPr>
        <w:t>(</w:t>
      </w:r>
      <w:hyperlink w:anchor="_ENREF_21" w:tooltip="Hine, 2013 #288" w:history="1">
        <w:r w:rsidR="00930389">
          <w:rPr>
            <w:rFonts w:asciiTheme="minorHAnsi" w:eastAsiaTheme="minorHAnsi" w:hAnsiTheme="minorHAnsi" w:cstheme="minorBidi"/>
            <w:b w:val="0"/>
            <w:bCs w:val="0"/>
            <w:noProof/>
            <w:color w:val="auto"/>
            <w:sz w:val="22"/>
            <w:szCs w:val="22"/>
          </w:rPr>
          <w:t>Hine &amp; Leman, 2013</w:t>
        </w:r>
      </w:hyperlink>
      <w:r w:rsidR="00013C17">
        <w:rPr>
          <w:rFonts w:asciiTheme="minorHAnsi" w:eastAsiaTheme="minorHAnsi" w:hAnsiTheme="minorHAnsi" w:cstheme="minorBidi"/>
          <w:b w:val="0"/>
          <w:bCs w:val="0"/>
          <w:noProof/>
          <w:color w:val="auto"/>
          <w:sz w:val="22"/>
          <w:szCs w:val="22"/>
        </w:rPr>
        <w:t>)</w:t>
      </w:r>
      <w:r w:rsidR="00013C17">
        <w:rPr>
          <w:rFonts w:asciiTheme="minorHAnsi" w:eastAsiaTheme="minorHAnsi" w:hAnsiTheme="minorHAnsi" w:cstheme="minorBidi"/>
          <w:b w:val="0"/>
          <w:bCs w:val="0"/>
          <w:color w:val="auto"/>
          <w:sz w:val="22"/>
          <w:szCs w:val="22"/>
        </w:rPr>
        <w:fldChar w:fldCharType="end"/>
      </w:r>
      <w:r w:rsidR="00FF3923">
        <w:rPr>
          <w:rFonts w:asciiTheme="minorHAnsi" w:eastAsiaTheme="minorHAnsi" w:hAnsiTheme="minorHAnsi" w:cstheme="minorBidi"/>
          <w:b w:val="0"/>
          <w:bCs w:val="0"/>
          <w:color w:val="auto"/>
          <w:sz w:val="22"/>
          <w:szCs w:val="22"/>
        </w:rPr>
        <w:t xml:space="preserve">, </w:t>
      </w:r>
      <w:r w:rsidR="00E34F3D">
        <w:rPr>
          <w:rFonts w:asciiTheme="minorHAnsi" w:eastAsiaTheme="minorHAnsi" w:hAnsiTheme="minorHAnsi" w:cstheme="minorBidi"/>
          <w:b w:val="0"/>
          <w:bCs w:val="0"/>
          <w:color w:val="auto"/>
          <w:sz w:val="22"/>
          <w:szCs w:val="22"/>
        </w:rPr>
        <w:t>and rate girls</w:t>
      </w:r>
      <w:r w:rsidR="00CB4F98">
        <w:rPr>
          <w:rFonts w:asciiTheme="minorHAnsi" w:eastAsiaTheme="minorHAnsi" w:hAnsiTheme="minorHAnsi" w:cstheme="minorBidi"/>
          <w:b w:val="0"/>
          <w:bCs w:val="0"/>
          <w:color w:val="auto"/>
          <w:sz w:val="22"/>
          <w:szCs w:val="22"/>
        </w:rPr>
        <w:t xml:space="preserve"> as </w:t>
      </w:r>
      <w:r w:rsidR="00FF3923">
        <w:rPr>
          <w:rFonts w:asciiTheme="minorHAnsi" w:eastAsiaTheme="minorHAnsi" w:hAnsiTheme="minorHAnsi" w:cstheme="minorBidi"/>
          <w:b w:val="0"/>
          <w:bCs w:val="0"/>
          <w:color w:val="auto"/>
          <w:sz w:val="22"/>
          <w:szCs w:val="22"/>
        </w:rPr>
        <w:t xml:space="preserve">behaviourally more prosocial </w:t>
      </w:r>
      <w:r w:rsidR="00CB4F98">
        <w:rPr>
          <w:rFonts w:asciiTheme="minorHAnsi" w:eastAsiaTheme="minorHAnsi" w:hAnsiTheme="minorHAnsi" w:cstheme="minorBidi"/>
          <w:b w:val="0"/>
          <w:bCs w:val="0"/>
          <w:color w:val="auto"/>
          <w:sz w:val="22"/>
          <w:szCs w:val="22"/>
        </w:rPr>
        <w:t>using self- and other-report measures</w:t>
      </w:r>
      <w:r w:rsidR="00CB4F98" w:rsidRPr="00322318">
        <w:rPr>
          <w:rFonts w:asciiTheme="minorHAnsi" w:eastAsiaTheme="minorHAnsi" w:hAnsiTheme="minorHAnsi" w:cstheme="minorBidi"/>
          <w:b w:val="0"/>
          <w:bCs w:val="0"/>
          <w:color w:val="auto"/>
          <w:sz w:val="22"/>
          <w:szCs w:val="22"/>
        </w:rPr>
        <w:t xml:space="preserve"> </w:t>
      </w:r>
      <w:r w:rsidR="00322318" w:rsidRPr="00322318">
        <w:rPr>
          <w:rFonts w:asciiTheme="minorHAnsi" w:eastAsiaTheme="minorHAnsi" w:hAnsiTheme="minorHAnsi" w:cstheme="minorBidi"/>
          <w:b w:val="0"/>
          <w:bCs w:val="0"/>
          <w:color w:val="auto"/>
          <w:sz w:val="22"/>
          <w:szCs w:val="22"/>
        </w:rPr>
        <w:fldChar w:fldCharType="begin"/>
      </w:r>
      <w:r w:rsidR="006959F6">
        <w:rPr>
          <w:rFonts w:asciiTheme="minorHAnsi" w:eastAsiaTheme="minorHAnsi" w:hAnsiTheme="minorHAnsi" w:cstheme="minorBidi"/>
          <w:b w:val="0"/>
          <w:bCs w:val="0"/>
          <w:color w:val="auto"/>
          <w:sz w:val="22"/>
          <w:szCs w:val="22"/>
        </w:rPr>
        <w:instrText xml:space="preserve"> ADDIN EN.CITE &lt;EndNote&gt;&lt;Cite&gt;&lt;Author&gt;Fabes&lt;/Author&gt;&lt;Year&gt;1999&lt;/Year&gt;&lt;RecNum&gt;100&lt;/RecNum&gt;&lt;DisplayText&gt;(Eisenberg, et al., 2006; Fabes, et al., 1999)&lt;/DisplayText&gt;&lt;record&gt;&lt;rec-number&gt;100&lt;/rec-number&gt;&lt;foreign-keys&gt;&lt;key app="EN" db-id="f5p9zd5zqsratqef5sv5pz2wpve092vrdw52"&gt;100&lt;/key&gt;&lt;/foreign-keys&gt;&lt;ref-type name="Journal Article"&gt;17&lt;/ref-type&gt;&lt;contributors&gt;&lt;authors&gt;&lt;author&gt;Fabes, R. A.&lt;/author&gt;&lt;author&gt;Carlo, G.&lt;/author&gt;&lt;author&gt;Kupanoff, K.&lt;/author&gt;&lt;author&gt;Laible, D.&lt;/author&gt;&lt;/authors&gt;&lt;/contributors&gt;&lt;titles&gt;&lt;title&gt;Early Adolescence and Prosocial/Moral Behavior I: The Role of Individual Processes&lt;/title&gt;&lt;secondary-title&gt;The Journal of Early Adolescence&lt;/secondary-title&gt;&lt;/titles&gt;&lt;periodical&gt;&lt;full-title&gt;The Journal of Early Adolescence&lt;/full-title&gt;&lt;/periodical&gt;&lt;pages&gt;5-16&lt;/pages&gt;&lt;volume&gt;19&lt;/volume&gt;&lt;dates&gt;&lt;year&gt;1999&lt;/year&gt;&lt;/dates&gt;&lt;urls&gt;&lt;/urls&gt;&lt;electronic-resource-num&gt;10.1177/0272431699019001001&lt;/electronic-resource-num&gt;&lt;/record&gt;&lt;/Cite&gt;&lt;Cite&gt;&lt;Author&gt;Eisenberg&lt;/Author&gt;&lt;Year&gt;2006&lt;/Year&gt;&lt;RecNum&gt;229&lt;/RecNum&gt;&lt;record&gt;&lt;rec-number&gt;229&lt;/rec-number&gt;&lt;foreign-keys&gt;&lt;key app="EN" db-id="f5p9zd5zqsratqef5sv5pz2wpve092vrdw52"&gt;229&lt;/key&gt;&lt;/foreign-keys&gt;&lt;ref-type name="Book Section"&gt;5&lt;/ref-type&gt;&lt;contributors&gt;&lt;authors&gt;&lt;author&gt;Eisenberg, N.&lt;/author&gt;&lt;author&gt;Fabes, R. A.&lt;/author&gt;&lt;author&gt;Spinrad, T. L.&lt;/author&gt;&lt;/authors&gt;&lt;secondary-authors&gt;&lt;author&gt;Eisenberg, N.&lt;/author&gt;&lt;/secondary-authors&gt;&lt;tertiary-authors&gt;&lt;author&gt;Damon, W.&lt;/author&gt;&lt;/tertiary-authors&gt;&lt;/contributors&gt;&lt;titles&gt;&lt;title&gt;Prosocial Development&lt;/title&gt;&lt;secondary-title&gt;Handbook of Child Psychology, Vol 3: Social, Emotional, and Personality Development&lt;/secondary-title&gt;&lt;/titles&gt;&lt;pages&gt;646-718&lt;/pages&gt;&lt;number&gt;6&lt;/number&gt;&lt;dates&gt;&lt;year&gt;2006&lt;/year&gt;&lt;/dates&gt;&lt;urls&gt;&lt;/urls&gt;&lt;/record&gt;&lt;/Cite&gt;&lt;/EndNote&gt;</w:instrText>
      </w:r>
      <w:r w:rsidR="00322318" w:rsidRPr="00322318">
        <w:rPr>
          <w:rFonts w:asciiTheme="minorHAnsi" w:eastAsiaTheme="minorHAnsi" w:hAnsiTheme="minorHAnsi" w:cstheme="minorBidi"/>
          <w:b w:val="0"/>
          <w:bCs w:val="0"/>
          <w:color w:val="auto"/>
          <w:sz w:val="22"/>
          <w:szCs w:val="22"/>
        </w:rPr>
        <w:fldChar w:fldCharType="separate"/>
      </w:r>
      <w:r w:rsidR="006959F6">
        <w:rPr>
          <w:rFonts w:asciiTheme="minorHAnsi" w:eastAsiaTheme="minorHAnsi" w:hAnsiTheme="minorHAnsi" w:cstheme="minorBidi"/>
          <w:b w:val="0"/>
          <w:bCs w:val="0"/>
          <w:noProof/>
          <w:color w:val="auto"/>
          <w:sz w:val="22"/>
          <w:szCs w:val="22"/>
        </w:rPr>
        <w:t>(</w:t>
      </w:r>
      <w:hyperlink w:anchor="_ENREF_10" w:tooltip="Eisenberg, 2006 #229" w:history="1">
        <w:r w:rsidR="00930389">
          <w:rPr>
            <w:rFonts w:asciiTheme="minorHAnsi" w:eastAsiaTheme="minorHAnsi" w:hAnsiTheme="minorHAnsi" w:cstheme="minorBidi"/>
            <w:b w:val="0"/>
            <w:bCs w:val="0"/>
            <w:noProof/>
            <w:color w:val="auto"/>
            <w:sz w:val="22"/>
            <w:szCs w:val="22"/>
          </w:rPr>
          <w:t>Eisenberg, et al., 2006</w:t>
        </w:r>
      </w:hyperlink>
      <w:r w:rsidR="006959F6">
        <w:rPr>
          <w:rFonts w:asciiTheme="minorHAnsi" w:eastAsiaTheme="minorHAnsi" w:hAnsiTheme="minorHAnsi" w:cstheme="minorBidi"/>
          <w:b w:val="0"/>
          <w:bCs w:val="0"/>
          <w:noProof/>
          <w:color w:val="auto"/>
          <w:sz w:val="22"/>
          <w:szCs w:val="22"/>
        </w:rPr>
        <w:t xml:space="preserve">; </w:t>
      </w:r>
      <w:hyperlink w:anchor="_ENREF_13" w:tooltip="Fabes, 1999 #100" w:history="1">
        <w:r w:rsidR="00930389">
          <w:rPr>
            <w:rFonts w:asciiTheme="minorHAnsi" w:eastAsiaTheme="minorHAnsi" w:hAnsiTheme="minorHAnsi" w:cstheme="minorBidi"/>
            <w:b w:val="0"/>
            <w:bCs w:val="0"/>
            <w:noProof/>
            <w:color w:val="auto"/>
            <w:sz w:val="22"/>
            <w:szCs w:val="22"/>
          </w:rPr>
          <w:t>Fabes, et al., 1999</w:t>
        </w:r>
      </w:hyperlink>
      <w:r w:rsidR="006959F6">
        <w:rPr>
          <w:rFonts w:asciiTheme="minorHAnsi" w:eastAsiaTheme="minorHAnsi" w:hAnsiTheme="minorHAnsi" w:cstheme="minorBidi"/>
          <w:b w:val="0"/>
          <w:bCs w:val="0"/>
          <w:noProof/>
          <w:color w:val="auto"/>
          <w:sz w:val="22"/>
          <w:szCs w:val="22"/>
        </w:rPr>
        <w:t>)</w:t>
      </w:r>
      <w:r w:rsidR="00322318" w:rsidRPr="00322318">
        <w:rPr>
          <w:rFonts w:asciiTheme="minorHAnsi" w:eastAsiaTheme="minorHAnsi" w:hAnsiTheme="minorHAnsi" w:cstheme="minorBidi"/>
          <w:b w:val="0"/>
          <w:bCs w:val="0"/>
          <w:color w:val="auto"/>
          <w:sz w:val="22"/>
          <w:szCs w:val="22"/>
        </w:rPr>
        <w:fldChar w:fldCharType="end"/>
      </w:r>
      <w:r w:rsidR="00B06E84">
        <w:rPr>
          <w:rFonts w:asciiTheme="minorHAnsi" w:eastAsiaTheme="minorHAnsi" w:hAnsiTheme="minorHAnsi" w:cstheme="minorBidi"/>
          <w:b w:val="0"/>
          <w:bCs w:val="0"/>
          <w:color w:val="auto"/>
          <w:sz w:val="22"/>
          <w:szCs w:val="22"/>
        </w:rPr>
        <w:t xml:space="preserve">.  </w:t>
      </w:r>
      <w:r w:rsidR="009C4DE9">
        <w:rPr>
          <w:rFonts w:asciiTheme="minorHAnsi" w:eastAsiaTheme="minorHAnsi" w:hAnsiTheme="minorHAnsi" w:cstheme="minorBidi"/>
          <w:b w:val="0"/>
          <w:bCs w:val="0"/>
          <w:color w:val="auto"/>
          <w:sz w:val="22"/>
          <w:szCs w:val="22"/>
        </w:rPr>
        <w:t xml:space="preserve">Evidence for this stereotype is also found outside of academia, for example in the popular children’s nursery rhyme </w:t>
      </w:r>
      <w:r w:rsidR="004E09BE">
        <w:rPr>
          <w:rFonts w:asciiTheme="minorHAnsi" w:eastAsiaTheme="minorHAnsi" w:hAnsiTheme="minorHAnsi" w:cstheme="minorBidi"/>
          <w:b w:val="0"/>
          <w:bCs w:val="0"/>
          <w:color w:val="auto"/>
          <w:sz w:val="22"/>
          <w:szCs w:val="22"/>
        </w:rPr>
        <w:t>‘</w:t>
      </w:r>
      <w:r w:rsidR="009C4DE9" w:rsidRPr="009C4DE9">
        <w:rPr>
          <w:rFonts w:asciiTheme="minorHAnsi" w:eastAsiaTheme="minorHAnsi" w:hAnsiTheme="minorHAnsi" w:cstheme="minorBidi"/>
          <w:b w:val="0"/>
          <w:bCs w:val="0"/>
          <w:i/>
          <w:color w:val="auto"/>
          <w:sz w:val="22"/>
          <w:szCs w:val="22"/>
        </w:rPr>
        <w:t>What are little boys made of?</w:t>
      </w:r>
      <w:r w:rsidR="004E09BE">
        <w:rPr>
          <w:rFonts w:asciiTheme="minorHAnsi" w:eastAsiaTheme="minorHAnsi" w:hAnsiTheme="minorHAnsi" w:cstheme="minorBidi"/>
          <w:b w:val="0"/>
          <w:bCs w:val="0"/>
          <w:i/>
          <w:color w:val="auto"/>
          <w:sz w:val="22"/>
          <w:szCs w:val="22"/>
        </w:rPr>
        <w:t>’</w:t>
      </w:r>
      <w:r w:rsidR="004E09BE">
        <w:rPr>
          <w:rFonts w:asciiTheme="minorHAnsi" w:eastAsiaTheme="minorHAnsi" w:hAnsiTheme="minorHAnsi" w:cstheme="minorBidi"/>
          <w:b w:val="0"/>
          <w:bCs w:val="0"/>
          <w:color w:val="auto"/>
          <w:sz w:val="22"/>
          <w:szCs w:val="22"/>
        </w:rPr>
        <w:t xml:space="preserve"> which</w:t>
      </w:r>
      <w:r w:rsidR="009C4DE9">
        <w:rPr>
          <w:rFonts w:asciiTheme="minorHAnsi" w:eastAsiaTheme="minorHAnsi" w:hAnsiTheme="minorHAnsi" w:cstheme="minorBidi"/>
          <w:b w:val="0"/>
          <w:bCs w:val="0"/>
          <w:color w:val="auto"/>
          <w:sz w:val="22"/>
          <w:szCs w:val="22"/>
        </w:rPr>
        <w:t xml:space="preserve"> states that girls are made of ‘sugar and spice and all things nice’ </w:t>
      </w:r>
      <w:r w:rsidR="009C4DE9">
        <w:rPr>
          <w:rFonts w:asciiTheme="minorHAnsi" w:eastAsiaTheme="minorHAnsi" w:hAnsiTheme="minorHAnsi" w:cstheme="minorBidi"/>
          <w:b w:val="0"/>
          <w:bCs w:val="0"/>
          <w:color w:val="auto"/>
          <w:sz w:val="22"/>
          <w:szCs w:val="22"/>
        </w:rPr>
        <w:fldChar w:fldCharType="begin"/>
      </w:r>
      <w:r w:rsidR="009C4DE9">
        <w:rPr>
          <w:rFonts w:asciiTheme="minorHAnsi" w:eastAsiaTheme="minorHAnsi" w:hAnsiTheme="minorHAnsi" w:cstheme="minorBidi"/>
          <w:b w:val="0"/>
          <w:bCs w:val="0"/>
          <w:color w:val="auto"/>
          <w:sz w:val="22"/>
          <w:szCs w:val="22"/>
        </w:rPr>
        <w:instrText xml:space="preserve"> ADDIN EN.CITE &lt;EndNote&gt;&lt;Cite&gt;&lt;Author&gt;Opie&lt;/Author&gt;&lt;Year&gt;1997&lt;/Year&gt;&lt;RecNum&gt;344&lt;/RecNum&gt;&lt;DisplayText&gt;(Opie &amp;amp; Opie, 1997)&lt;/DisplayText&gt;&lt;record&gt;&lt;rec-number&gt;344&lt;/rec-number&gt;&lt;foreign-keys&gt;&lt;key app="EN" db-id="f5p9zd5zqsratqef5sv5pz2wpve092vrdw52"&gt;344&lt;/key&gt;&lt;/foreign-keys&gt;&lt;ref-type name="Book"&gt;6&lt;/ref-type&gt;&lt;contributors&gt;&lt;authors&gt;&lt;author&gt;Opie, I.&lt;/author&gt;&lt;author&gt;Opie, P.&lt;/author&gt;&lt;/authors&gt;&lt;/contributors&gt;&lt;titles&gt;&lt;title&gt;The Oxford Dictionary of Nursery Rhymes&lt;/title&gt;&lt;/titles&gt;&lt;edition&gt;2nd&lt;/edition&gt;&lt;section&gt;100-101&lt;/section&gt;&lt;dates&gt;&lt;year&gt;1997&lt;/year&gt;&lt;/dates&gt;&lt;pub-location&gt;Oxford&lt;/pub-location&gt;&lt;publisher&gt;Oxford University Press&lt;/publisher&gt;&lt;urls&gt;&lt;/urls&gt;&lt;/record&gt;&lt;/Cite&gt;&lt;/EndNote&gt;</w:instrText>
      </w:r>
      <w:r w:rsidR="009C4DE9">
        <w:rPr>
          <w:rFonts w:asciiTheme="minorHAnsi" w:eastAsiaTheme="minorHAnsi" w:hAnsiTheme="minorHAnsi" w:cstheme="minorBidi"/>
          <w:b w:val="0"/>
          <w:bCs w:val="0"/>
          <w:color w:val="auto"/>
          <w:sz w:val="22"/>
          <w:szCs w:val="22"/>
        </w:rPr>
        <w:fldChar w:fldCharType="separate"/>
      </w:r>
      <w:r w:rsidR="009C4DE9">
        <w:rPr>
          <w:rFonts w:asciiTheme="minorHAnsi" w:eastAsiaTheme="minorHAnsi" w:hAnsiTheme="minorHAnsi" w:cstheme="minorBidi"/>
          <w:b w:val="0"/>
          <w:bCs w:val="0"/>
          <w:noProof/>
          <w:color w:val="auto"/>
          <w:sz w:val="22"/>
          <w:szCs w:val="22"/>
        </w:rPr>
        <w:t>(</w:t>
      </w:r>
      <w:hyperlink w:anchor="_ENREF_30" w:tooltip="Opie, 1997 #344" w:history="1">
        <w:r w:rsidR="00930389">
          <w:rPr>
            <w:rFonts w:asciiTheme="minorHAnsi" w:eastAsiaTheme="minorHAnsi" w:hAnsiTheme="minorHAnsi" w:cstheme="minorBidi"/>
            <w:b w:val="0"/>
            <w:bCs w:val="0"/>
            <w:noProof/>
            <w:color w:val="auto"/>
            <w:sz w:val="22"/>
            <w:szCs w:val="22"/>
          </w:rPr>
          <w:t>Opie &amp; Opie, 1997</w:t>
        </w:r>
      </w:hyperlink>
      <w:r w:rsidR="009C4DE9">
        <w:rPr>
          <w:rFonts w:asciiTheme="minorHAnsi" w:eastAsiaTheme="minorHAnsi" w:hAnsiTheme="minorHAnsi" w:cstheme="minorBidi"/>
          <w:b w:val="0"/>
          <w:bCs w:val="0"/>
          <w:noProof/>
          <w:color w:val="auto"/>
          <w:sz w:val="22"/>
          <w:szCs w:val="22"/>
        </w:rPr>
        <w:t>)</w:t>
      </w:r>
      <w:r w:rsidR="009C4DE9">
        <w:rPr>
          <w:rFonts w:asciiTheme="minorHAnsi" w:eastAsiaTheme="minorHAnsi" w:hAnsiTheme="minorHAnsi" w:cstheme="minorBidi"/>
          <w:b w:val="0"/>
          <w:bCs w:val="0"/>
          <w:color w:val="auto"/>
          <w:sz w:val="22"/>
          <w:szCs w:val="22"/>
        </w:rPr>
        <w:fldChar w:fldCharType="end"/>
      </w:r>
      <w:r w:rsidR="00B06E84">
        <w:rPr>
          <w:rFonts w:asciiTheme="minorHAnsi" w:eastAsiaTheme="minorHAnsi" w:hAnsiTheme="minorHAnsi" w:cstheme="minorBidi"/>
          <w:b w:val="0"/>
          <w:bCs w:val="0"/>
          <w:color w:val="auto"/>
          <w:sz w:val="22"/>
          <w:szCs w:val="22"/>
        </w:rPr>
        <w:t xml:space="preserve">.  </w:t>
      </w:r>
      <w:r w:rsidR="009C4DE9">
        <w:rPr>
          <w:rFonts w:asciiTheme="minorHAnsi" w:eastAsiaTheme="minorHAnsi" w:hAnsiTheme="minorHAnsi" w:cstheme="minorBidi"/>
          <w:b w:val="0"/>
          <w:bCs w:val="0"/>
          <w:color w:val="auto"/>
          <w:sz w:val="22"/>
          <w:szCs w:val="22"/>
        </w:rPr>
        <w:t>This suggests that researchers and laymen alike believe that girls are more prosocial than boys</w:t>
      </w:r>
      <w:r w:rsidR="006959F6">
        <w:rPr>
          <w:rFonts w:asciiTheme="minorHAnsi" w:eastAsiaTheme="minorHAnsi" w:hAnsiTheme="minorHAnsi" w:cstheme="minorBidi"/>
          <w:b w:val="0"/>
          <w:bCs w:val="0"/>
          <w:color w:val="auto"/>
          <w:sz w:val="22"/>
          <w:szCs w:val="22"/>
        </w:rPr>
        <w:t xml:space="preserve"> </w:t>
      </w:r>
      <w:r w:rsidR="006959F6">
        <w:rPr>
          <w:rFonts w:asciiTheme="minorHAnsi" w:eastAsiaTheme="minorHAnsi" w:hAnsiTheme="minorHAnsi" w:cstheme="minorBidi"/>
          <w:b w:val="0"/>
          <w:bCs w:val="0"/>
          <w:color w:val="auto"/>
          <w:sz w:val="22"/>
          <w:szCs w:val="22"/>
        </w:rPr>
        <w:fldChar w:fldCharType="begin"/>
      </w:r>
      <w:r w:rsidR="006959F6">
        <w:rPr>
          <w:rFonts w:asciiTheme="minorHAnsi" w:eastAsiaTheme="minorHAnsi" w:hAnsiTheme="minorHAnsi" w:cstheme="minorBidi"/>
          <w:b w:val="0"/>
          <w:bCs w:val="0"/>
          <w:color w:val="auto"/>
          <w:sz w:val="22"/>
          <w:szCs w:val="22"/>
        </w:rPr>
        <w:instrText xml:space="preserve"> ADDIN EN.CITE &lt;EndNote&gt;&lt;Cite&gt;&lt;Author&gt;Eisenberg&lt;/Author&gt;&lt;Year&gt;2006&lt;/Year&gt;&lt;RecNum&gt;229&lt;/RecNum&gt;&lt;DisplayText&gt;(Eisenberg, et al., 2006)&lt;/DisplayText&gt;&lt;record&gt;&lt;rec-number&gt;229&lt;/rec-number&gt;&lt;foreign-keys&gt;&lt;key app="EN" db-id="f5p9zd5zqsratqef5sv5pz2wpve092vrdw52"&gt;229&lt;/key&gt;&lt;/foreign-keys&gt;&lt;ref-type name="Book Section"&gt;5&lt;/ref-type&gt;&lt;contributors&gt;&lt;authors&gt;&lt;author&gt;Eisenberg, N.&lt;/author&gt;&lt;author&gt;Fabes, R. A.&lt;/author&gt;&lt;author&gt;Spinrad, T. L.&lt;/author&gt;&lt;/authors&gt;&lt;secondary-authors&gt;&lt;author&gt;Eisenberg, N.&lt;/author&gt;&lt;/secondary-authors&gt;&lt;tertiary-authors&gt;&lt;author&gt;Damon, W.&lt;/author&gt;&lt;/tertiary-authors&gt;&lt;/contributors&gt;&lt;titles&gt;&lt;title&gt;Prosocial Development&lt;/title&gt;&lt;secondary-title&gt;Handbook of Child Psychology, Vol 3: Social, Emotional, and Personality Development&lt;/secondary-title&gt;&lt;/titles&gt;&lt;pages&gt;646-718&lt;/pages&gt;&lt;number&gt;6&lt;/number&gt;&lt;dates&gt;&lt;year&gt;2006&lt;/year&gt;&lt;/dates&gt;&lt;urls&gt;&lt;/urls&gt;&lt;/record&gt;&lt;/Cite&gt;&lt;/EndNote&gt;</w:instrText>
      </w:r>
      <w:r w:rsidR="006959F6">
        <w:rPr>
          <w:rFonts w:asciiTheme="minorHAnsi" w:eastAsiaTheme="minorHAnsi" w:hAnsiTheme="minorHAnsi" w:cstheme="minorBidi"/>
          <w:b w:val="0"/>
          <w:bCs w:val="0"/>
          <w:color w:val="auto"/>
          <w:sz w:val="22"/>
          <w:szCs w:val="22"/>
        </w:rPr>
        <w:fldChar w:fldCharType="separate"/>
      </w:r>
      <w:r w:rsidR="006959F6">
        <w:rPr>
          <w:rFonts w:asciiTheme="minorHAnsi" w:eastAsiaTheme="minorHAnsi" w:hAnsiTheme="minorHAnsi" w:cstheme="minorBidi"/>
          <w:b w:val="0"/>
          <w:bCs w:val="0"/>
          <w:noProof/>
          <w:color w:val="auto"/>
          <w:sz w:val="22"/>
          <w:szCs w:val="22"/>
        </w:rPr>
        <w:t>(</w:t>
      </w:r>
      <w:hyperlink w:anchor="_ENREF_10" w:tooltip="Eisenberg, 2006 #229" w:history="1">
        <w:r w:rsidR="00930389">
          <w:rPr>
            <w:rFonts w:asciiTheme="minorHAnsi" w:eastAsiaTheme="minorHAnsi" w:hAnsiTheme="minorHAnsi" w:cstheme="minorBidi"/>
            <w:b w:val="0"/>
            <w:bCs w:val="0"/>
            <w:noProof/>
            <w:color w:val="auto"/>
            <w:sz w:val="22"/>
            <w:szCs w:val="22"/>
          </w:rPr>
          <w:t>Eisenberg, et al., 2006</w:t>
        </w:r>
      </w:hyperlink>
      <w:r w:rsidR="006959F6">
        <w:rPr>
          <w:rFonts w:asciiTheme="minorHAnsi" w:eastAsiaTheme="minorHAnsi" w:hAnsiTheme="minorHAnsi" w:cstheme="minorBidi"/>
          <w:b w:val="0"/>
          <w:bCs w:val="0"/>
          <w:noProof/>
          <w:color w:val="auto"/>
          <w:sz w:val="22"/>
          <w:szCs w:val="22"/>
        </w:rPr>
        <w:t>)</w:t>
      </w:r>
      <w:r w:rsidR="006959F6">
        <w:rPr>
          <w:rFonts w:asciiTheme="minorHAnsi" w:eastAsiaTheme="minorHAnsi" w:hAnsiTheme="minorHAnsi" w:cstheme="minorBidi"/>
          <w:b w:val="0"/>
          <w:bCs w:val="0"/>
          <w:color w:val="auto"/>
          <w:sz w:val="22"/>
          <w:szCs w:val="22"/>
        </w:rPr>
        <w:fldChar w:fldCharType="end"/>
      </w:r>
      <w:r w:rsidR="00E043E8">
        <w:rPr>
          <w:rFonts w:asciiTheme="minorHAnsi" w:eastAsiaTheme="minorHAnsi" w:hAnsiTheme="minorHAnsi" w:cstheme="minorBidi"/>
          <w:b w:val="0"/>
          <w:bCs w:val="0"/>
          <w:color w:val="auto"/>
          <w:sz w:val="22"/>
          <w:szCs w:val="22"/>
        </w:rPr>
        <w:t xml:space="preserve">.  </w:t>
      </w:r>
      <w:r w:rsidR="00324068">
        <w:rPr>
          <w:rFonts w:asciiTheme="minorHAnsi" w:eastAsiaTheme="minorHAnsi" w:hAnsiTheme="minorHAnsi" w:cstheme="minorBidi"/>
          <w:b w:val="0"/>
          <w:bCs w:val="0"/>
          <w:color w:val="auto"/>
          <w:sz w:val="22"/>
          <w:szCs w:val="22"/>
        </w:rPr>
        <w:t xml:space="preserve">Conceptualisations about prosocial behaviour, and the judgements associated, may therefore be bound to stereotypes about what is appropriate moral behaviour for boys and girls.  </w:t>
      </w:r>
      <w:r w:rsidR="00E043E8">
        <w:rPr>
          <w:rFonts w:asciiTheme="minorHAnsi" w:eastAsiaTheme="minorHAnsi" w:hAnsiTheme="minorHAnsi" w:cstheme="minorBidi"/>
          <w:b w:val="0"/>
          <w:bCs w:val="0"/>
          <w:color w:val="auto"/>
          <w:sz w:val="22"/>
          <w:szCs w:val="22"/>
        </w:rPr>
        <w:t xml:space="preserve">It is imperative to understand </w:t>
      </w:r>
      <w:r w:rsidR="00324068">
        <w:rPr>
          <w:rFonts w:asciiTheme="minorHAnsi" w:eastAsiaTheme="minorHAnsi" w:hAnsiTheme="minorHAnsi" w:cstheme="minorBidi"/>
          <w:b w:val="0"/>
          <w:bCs w:val="0"/>
          <w:color w:val="auto"/>
          <w:sz w:val="22"/>
          <w:szCs w:val="22"/>
        </w:rPr>
        <w:t xml:space="preserve">said </w:t>
      </w:r>
      <w:r w:rsidR="00E043E8">
        <w:rPr>
          <w:rFonts w:asciiTheme="minorHAnsi" w:eastAsiaTheme="minorHAnsi" w:hAnsiTheme="minorHAnsi" w:cstheme="minorBidi"/>
          <w:b w:val="0"/>
          <w:bCs w:val="0"/>
          <w:color w:val="auto"/>
          <w:sz w:val="22"/>
          <w:szCs w:val="22"/>
        </w:rPr>
        <w:t xml:space="preserve">judgements about who should perform prosocial behaviour, and the inter-relatedness of gender stereotypes and beliefs, in order to understand what guides the actualisation of these actions. </w:t>
      </w:r>
    </w:p>
    <w:p w:rsidR="00E54CCC" w:rsidRDefault="0006732C" w:rsidP="00E54CCC">
      <w:pPr>
        <w:pStyle w:val="Heading1"/>
        <w:keepLines w:val="0"/>
        <w:spacing w:before="120" w:after="120"/>
        <w:ind w:firstLine="720"/>
        <w:contextualSpacing/>
        <w:jc w:val="left"/>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lastRenderedPageBreak/>
        <w:t xml:space="preserve">The categorisation of prosocial behaviour as both morally positive and feminine </w:t>
      </w:r>
      <w:r w:rsidR="00322318" w:rsidRPr="00322318">
        <w:rPr>
          <w:rFonts w:asciiTheme="minorHAnsi" w:eastAsiaTheme="minorHAnsi" w:hAnsiTheme="minorHAnsi" w:cstheme="minorBidi"/>
          <w:b w:val="0"/>
          <w:bCs w:val="0"/>
          <w:color w:val="auto"/>
          <w:sz w:val="22"/>
          <w:szCs w:val="22"/>
        </w:rPr>
        <w:t xml:space="preserve">suggests that </w:t>
      </w:r>
      <w:r w:rsidR="002C5ADC">
        <w:rPr>
          <w:rFonts w:asciiTheme="minorHAnsi" w:eastAsiaTheme="minorHAnsi" w:hAnsiTheme="minorHAnsi" w:cstheme="minorBidi"/>
          <w:b w:val="0"/>
          <w:bCs w:val="0"/>
          <w:color w:val="auto"/>
          <w:sz w:val="22"/>
          <w:szCs w:val="22"/>
        </w:rPr>
        <w:t>children’s</w:t>
      </w:r>
      <w:r w:rsidR="007A68A2">
        <w:rPr>
          <w:rFonts w:asciiTheme="minorHAnsi" w:eastAsiaTheme="minorHAnsi" w:hAnsiTheme="minorHAnsi" w:cstheme="minorBidi"/>
          <w:b w:val="0"/>
          <w:bCs w:val="0"/>
          <w:color w:val="auto"/>
          <w:sz w:val="22"/>
          <w:szCs w:val="22"/>
        </w:rPr>
        <w:t xml:space="preserve"> </w:t>
      </w:r>
      <w:r w:rsidR="008A4C10">
        <w:rPr>
          <w:rFonts w:asciiTheme="minorHAnsi" w:eastAsiaTheme="minorHAnsi" w:hAnsiTheme="minorHAnsi" w:cstheme="minorBidi"/>
          <w:b w:val="0"/>
          <w:bCs w:val="0"/>
          <w:color w:val="auto"/>
          <w:sz w:val="22"/>
          <w:szCs w:val="22"/>
        </w:rPr>
        <w:t>knowledge</w:t>
      </w:r>
      <w:r w:rsidR="00322318" w:rsidRPr="00322318">
        <w:rPr>
          <w:rFonts w:asciiTheme="minorHAnsi" w:eastAsiaTheme="minorHAnsi" w:hAnsiTheme="minorHAnsi" w:cstheme="minorBidi"/>
          <w:b w:val="0"/>
          <w:bCs w:val="0"/>
          <w:color w:val="auto"/>
          <w:sz w:val="22"/>
          <w:szCs w:val="22"/>
        </w:rPr>
        <w:t xml:space="preserve"> about </w:t>
      </w:r>
      <w:r w:rsidR="00DF21C8">
        <w:rPr>
          <w:rFonts w:asciiTheme="minorHAnsi" w:eastAsiaTheme="minorHAnsi" w:hAnsiTheme="minorHAnsi" w:cstheme="minorBidi"/>
          <w:b w:val="0"/>
          <w:bCs w:val="0"/>
          <w:color w:val="auto"/>
          <w:sz w:val="22"/>
          <w:szCs w:val="22"/>
        </w:rPr>
        <w:t>these actions</w:t>
      </w:r>
      <w:r w:rsidR="00322318" w:rsidRPr="00322318">
        <w:rPr>
          <w:rFonts w:asciiTheme="minorHAnsi" w:eastAsiaTheme="minorHAnsi" w:hAnsiTheme="minorHAnsi" w:cstheme="minorBidi"/>
          <w:b w:val="0"/>
          <w:bCs w:val="0"/>
          <w:color w:val="auto"/>
          <w:sz w:val="22"/>
          <w:szCs w:val="22"/>
        </w:rPr>
        <w:t xml:space="preserve"> may relate </w:t>
      </w:r>
      <w:r>
        <w:rPr>
          <w:rFonts w:asciiTheme="minorHAnsi" w:eastAsiaTheme="minorHAnsi" w:hAnsiTheme="minorHAnsi" w:cstheme="minorBidi"/>
          <w:b w:val="0"/>
          <w:bCs w:val="0"/>
          <w:color w:val="auto"/>
          <w:sz w:val="22"/>
          <w:szCs w:val="22"/>
        </w:rPr>
        <w:t>to both moral</w:t>
      </w:r>
      <w:r w:rsidR="00322318" w:rsidRPr="00322318">
        <w:rPr>
          <w:rFonts w:asciiTheme="minorHAnsi" w:eastAsiaTheme="minorHAnsi" w:hAnsiTheme="minorHAnsi" w:cstheme="minorBidi"/>
          <w:b w:val="0"/>
          <w:bCs w:val="0"/>
          <w:color w:val="auto"/>
          <w:sz w:val="22"/>
          <w:szCs w:val="22"/>
        </w:rPr>
        <w:t xml:space="preserve"> </w:t>
      </w:r>
      <w:r w:rsidR="007A68A2">
        <w:rPr>
          <w:rFonts w:asciiTheme="minorHAnsi" w:eastAsiaTheme="minorHAnsi" w:hAnsiTheme="minorHAnsi" w:cstheme="minorBidi"/>
          <w:b w:val="0"/>
          <w:bCs w:val="0"/>
          <w:color w:val="auto"/>
          <w:sz w:val="22"/>
          <w:szCs w:val="22"/>
        </w:rPr>
        <w:t xml:space="preserve">and </w:t>
      </w:r>
      <w:r>
        <w:rPr>
          <w:rFonts w:asciiTheme="minorHAnsi" w:eastAsiaTheme="minorHAnsi" w:hAnsiTheme="minorHAnsi" w:cstheme="minorBidi"/>
          <w:b w:val="0"/>
          <w:bCs w:val="0"/>
          <w:color w:val="auto"/>
          <w:sz w:val="22"/>
          <w:szCs w:val="22"/>
        </w:rPr>
        <w:t>social rules</w:t>
      </w:r>
      <w:r w:rsidR="00D53BD3">
        <w:rPr>
          <w:rFonts w:asciiTheme="minorHAnsi" w:eastAsiaTheme="minorHAnsi" w:hAnsiTheme="minorHAnsi" w:cstheme="minorBidi"/>
          <w:b w:val="0"/>
          <w:bCs w:val="0"/>
          <w:color w:val="auto"/>
          <w:sz w:val="22"/>
          <w:szCs w:val="22"/>
        </w:rPr>
        <w:t xml:space="preserve"> as suggested by Domain Theory (</w:t>
      </w:r>
      <w:r w:rsidR="002C5ADC">
        <w:rPr>
          <w:rFonts w:asciiTheme="minorHAnsi" w:eastAsiaTheme="minorHAnsi" w:hAnsiTheme="minorHAnsi" w:cstheme="minorBidi"/>
          <w:b w:val="0"/>
          <w:bCs w:val="0"/>
          <w:color w:val="auto"/>
          <w:sz w:val="22"/>
          <w:szCs w:val="22"/>
        </w:rPr>
        <w:t>Smetana, 2006</w:t>
      </w:r>
      <w:r w:rsidR="003972B5">
        <w:rPr>
          <w:rFonts w:asciiTheme="minorHAnsi" w:eastAsiaTheme="minorHAnsi" w:hAnsiTheme="minorHAnsi" w:cstheme="minorBidi"/>
          <w:b w:val="0"/>
          <w:bCs w:val="0"/>
          <w:color w:val="auto"/>
          <w:sz w:val="22"/>
          <w:szCs w:val="22"/>
        </w:rPr>
        <w:t xml:space="preserve">; </w:t>
      </w:r>
      <w:proofErr w:type="spellStart"/>
      <w:r w:rsidR="003972B5">
        <w:rPr>
          <w:rFonts w:asciiTheme="minorHAnsi" w:eastAsiaTheme="minorHAnsi" w:hAnsiTheme="minorHAnsi" w:cstheme="minorBidi"/>
          <w:b w:val="0"/>
          <w:bCs w:val="0"/>
          <w:color w:val="auto"/>
          <w:sz w:val="22"/>
          <w:szCs w:val="22"/>
        </w:rPr>
        <w:t>Turiel</w:t>
      </w:r>
      <w:proofErr w:type="spellEnd"/>
      <w:r w:rsidR="003972B5">
        <w:rPr>
          <w:rFonts w:asciiTheme="minorHAnsi" w:eastAsiaTheme="minorHAnsi" w:hAnsiTheme="minorHAnsi" w:cstheme="minorBidi"/>
          <w:b w:val="0"/>
          <w:bCs w:val="0"/>
          <w:color w:val="auto"/>
          <w:sz w:val="22"/>
          <w:szCs w:val="22"/>
        </w:rPr>
        <w:t>, 1983</w:t>
      </w:r>
      <w:r w:rsidR="00F45214">
        <w:rPr>
          <w:rFonts w:asciiTheme="minorHAnsi" w:eastAsiaTheme="minorHAnsi" w:hAnsiTheme="minorHAnsi" w:cstheme="minorBidi"/>
          <w:b w:val="0"/>
          <w:bCs w:val="0"/>
          <w:color w:val="auto"/>
          <w:sz w:val="22"/>
          <w:szCs w:val="22"/>
        </w:rPr>
        <w:t>)</w:t>
      </w:r>
      <w:r w:rsidR="00D53BD3">
        <w:rPr>
          <w:rFonts w:asciiTheme="minorHAnsi" w:eastAsiaTheme="minorHAnsi" w:hAnsiTheme="minorHAnsi" w:cstheme="minorBidi"/>
          <w:b w:val="0"/>
          <w:bCs w:val="0"/>
          <w:color w:val="auto"/>
          <w:sz w:val="22"/>
          <w:szCs w:val="22"/>
        </w:rPr>
        <w:t xml:space="preserve">.  </w:t>
      </w:r>
      <w:proofErr w:type="spellStart"/>
      <w:r w:rsidR="00D53BD3">
        <w:rPr>
          <w:rFonts w:asciiTheme="minorHAnsi" w:eastAsiaTheme="minorHAnsi" w:hAnsiTheme="minorHAnsi" w:cstheme="minorBidi"/>
          <w:b w:val="0"/>
          <w:bCs w:val="0"/>
          <w:color w:val="auto"/>
          <w:sz w:val="22"/>
          <w:szCs w:val="22"/>
        </w:rPr>
        <w:t>Turiel</w:t>
      </w:r>
      <w:proofErr w:type="spellEnd"/>
      <w:r w:rsidR="00D53BD3">
        <w:rPr>
          <w:rFonts w:asciiTheme="minorHAnsi" w:eastAsiaTheme="minorHAnsi" w:hAnsiTheme="minorHAnsi" w:cstheme="minorBidi"/>
          <w:b w:val="0"/>
          <w:bCs w:val="0"/>
          <w:color w:val="auto"/>
          <w:sz w:val="22"/>
          <w:szCs w:val="22"/>
        </w:rPr>
        <w:t xml:space="preserve"> (1983, 1998) propose</w:t>
      </w:r>
      <w:r w:rsidR="00DF21C8">
        <w:rPr>
          <w:rFonts w:asciiTheme="minorHAnsi" w:eastAsiaTheme="minorHAnsi" w:hAnsiTheme="minorHAnsi" w:cstheme="minorBidi"/>
          <w:b w:val="0"/>
          <w:bCs w:val="0"/>
          <w:color w:val="auto"/>
          <w:sz w:val="22"/>
          <w:szCs w:val="22"/>
        </w:rPr>
        <w:t>d</w:t>
      </w:r>
      <w:r w:rsidR="00D53BD3">
        <w:rPr>
          <w:rFonts w:asciiTheme="minorHAnsi" w:eastAsiaTheme="minorHAnsi" w:hAnsiTheme="minorHAnsi" w:cstheme="minorBidi"/>
          <w:b w:val="0"/>
          <w:bCs w:val="0"/>
          <w:color w:val="auto"/>
          <w:sz w:val="22"/>
          <w:szCs w:val="22"/>
        </w:rPr>
        <w:t xml:space="preserve"> that thinking about the social world can be categorised into heterogeneous, coexistent strands</w:t>
      </w:r>
      <w:r w:rsidR="00E54CCC">
        <w:rPr>
          <w:rFonts w:asciiTheme="minorHAnsi" w:eastAsiaTheme="minorHAnsi" w:hAnsiTheme="minorHAnsi" w:cstheme="minorBidi"/>
          <w:b w:val="0"/>
          <w:bCs w:val="0"/>
          <w:color w:val="auto"/>
          <w:sz w:val="22"/>
          <w:szCs w:val="22"/>
        </w:rPr>
        <w:t xml:space="preserve"> or domains</w:t>
      </w:r>
      <w:r w:rsidR="00D53BD3">
        <w:rPr>
          <w:rFonts w:asciiTheme="minorHAnsi" w:eastAsiaTheme="minorHAnsi" w:hAnsiTheme="minorHAnsi" w:cstheme="minorBidi"/>
          <w:b w:val="0"/>
          <w:bCs w:val="0"/>
          <w:color w:val="auto"/>
          <w:sz w:val="22"/>
          <w:szCs w:val="22"/>
        </w:rPr>
        <w:t xml:space="preserve"> concerning </w:t>
      </w:r>
      <w:r w:rsidR="00D53BD3" w:rsidRPr="00D53BD3">
        <w:rPr>
          <w:rFonts w:asciiTheme="minorHAnsi" w:eastAsiaTheme="minorHAnsi" w:hAnsiTheme="minorHAnsi" w:cstheme="minorBidi"/>
          <w:b w:val="0"/>
          <w:bCs w:val="0"/>
          <w:i/>
          <w:color w:val="auto"/>
          <w:sz w:val="22"/>
          <w:szCs w:val="22"/>
        </w:rPr>
        <w:t>moral</w:t>
      </w:r>
      <w:r w:rsidR="00D53BD3">
        <w:rPr>
          <w:rFonts w:asciiTheme="minorHAnsi" w:eastAsiaTheme="minorHAnsi" w:hAnsiTheme="minorHAnsi" w:cstheme="minorBidi"/>
          <w:b w:val="0"/>
          <w:bCs w:val="0"/>
          <w:color w:val="auto"/>
          <w:sz w:val="22"/>
          <w:szCs w:val="22"/>
        </w:rPr>
        <w:t xml:space="preserve">, </w:t>
      </w:r>
      <w:r w:rsidR="00D53BD3" w:rsidRPr="00D53BD3">
        <w:rPr>
          <w:rFonts w:asciiTheme="minorHAnsi" w:eastAsiaTheme="minorHAnsi" w:hAnsiTheme="minorHAnsi" w:cstheme="minorBidi"/>
          <w:b w:val="0"/>
          <w:bCs w:val="0"/>
          <w:i/>
          <w:color w:val="auto"/>
          <w:sz w:val="22"/>
          <w:szCs w:val="22"/>
        </w:rPr>
        <w:t>social</w:t>
      </w:r>
      <w:r w:rsidR="00D53BD3">
        <w:rPr>
          <w:rFonts w:asciiTheme="minorHAnsi" w:eastAsiaTheme="minorHAnsi" w:hAnsiTheme="minorHAnsi" w:cstheme="minorBidi"/>
          <w:b w:val="0"/>
          <w:bCs w:val="0"/>
          <w:i/>
          <w:color w:val="auto"/>
          <w:sz w:val="22"/>
          <w:szCs w:val="22"/>
        </w:rPr>
        <w:t>-conventional</w:t>
      </w:r>
      <w:r w:rsidR="00D53BD3">
        <w:rPr>
          <w:rFonts w:asciiTheme="minorHAnsi" w:eastAsiaTheme="minorHAnsi" w:hAnsiTheme="minorHAnsi" w:cstheme="minorBidi"/>
          <w:b w:val="0"/>
          <w:bCs w:val="0"/>
          <w:color w:val="auto"/>
          <w:sz w:val="22"/>
          <w:szCs w:val="22"/>
        </w:rPr>
        <w:t xml:space="preserve">, and </w:t>
      </w:r>
      <w:r w:rsidR="00D53BD3" w:rsidRPr="00D53BD3">
        <w:rPr>
          <w:rFonts w:asciiTheme="minorHAnsi" w:eastAsiaTheme="minorHAnsi" w:hAnsiTheme="minorHAnsi" w:cstheme="minorBidi"/>
          <w:b w:val="0"/>
          <w:bCs w:val="0"/>
          <w:i/>
          <w:color w:val="auto"/>
          <w:sz w:val="22"/>
          <w:szCs w:val="22"/>
        </w:rPr>
        <w:t>personal</w:t>
      </w:r>
      <w:r w:rsidR="00592469">
        <w:rPr>
          <w:rFonts w:asciiTheme="minorHAnsi" w:eastAsiaTheme="minorHAnsi" w:hAnsiTheme="minorHAnsi" w:cstheme="minorBidi"/>
          <w:b w:val="0"/>
          <w:bCs w:val="0"/>
          <w:i/>
          <w:color w:val="auto"/>
          <w:sz w:val="22"/>
          <w:szCs w:val="22"/>
        </w:rPr>
        <w:t>/psychological</w:t>
      </w:r>
      <w:r w:rsidR="00D53BD3">
        <w:rPr>
          <w:rFonts w:asciiTheme="minorHAnsi" w:eastAsiaTheme="minorHAnsi" w:hAnsiTheme="minorHAnsi" w:cstheme="minorBidi"/>
          <w:b w:val="0"/>
          <w:bCs w:val="0"/>
          <w:color w:val="auto"/>
          <w:sz w:val="22"/>
          <w:szCs w:val="22"/>
        </w:rPr>
        <w:t xml:space="preserve"> issues</w:t>
      </w:r>
      <w:r w:rsidR="004E09BE">
        <w:rPr>
          <w:rFonts w:asciiTheme="minorHAnsi" w:eastAsiaTheme="minorHAnsi" w:hAnsiTheme="minorHAnsi" w:cstheme="minorBidi"/>
          <w:b w:val="0"/>
          <w:bCs w:val="0"/>
          <w:color w:val="auto"/>
          <w:sz w:val="22"/>
          <w:szCs w:val="22"/>
        </w:rPr>
        <w:t>,</w:t>
      </w:r>
      <w:r w:rsidR="00D53BD3">
        <w:rPr>
          <w:rFonts w:asciiTheme="minorHAnsi" w:eastAsiaTheme="minorHAnsi" w:hAnsiTheme="minorHAnsi" w:cstheme="minorBidi"/>
          <w:b w:val="0"/>
          <w:bCs w:val="0"/>
          <w:color w:val="auto"/>
          <w:sz w:val="22"/>
          <w:szCs w:val="22"/>
        </w:rPr>
        <w:t xml:space="preserve"> based on knowledge amassed through social experience. </w:t>
      </w:r>
      <w:r w:rsidR="008C65AA">
        <w:rPr>
          <w:rFonts w:asciiTheme="minorHAnsi" w:eastAsiaTheme="minorHAnsi" w:hAnsiTheme="minorHAnsi" w:cstheme="minorBidi"/>
          <w:b w:val="0"/>
          <w:bCs w:val="0"/>
          <w:color w:val="auto"/>
          <w:sz w:val="22"/>
          <w:szCs w:val="22"/>
        </w:rPr>
        <w:t xml:space="preserve"> </w:t>
      </w:r>
      <w:r w:rsidR="00592469">
        <w:rPr>
          <w:rFonts w:asciiTheme="minorHAnsi" w:eastAsiaTheme="minorHAnsi" w:hAnsiTheme="minorHAnsi" w:cstheme="minorBidi"/>
          <w:b w:val="0"/>
          <w:bCs w:val="0"/>
          <w:color w:val="auto"/>
          <w:sz w:val="22"/>
          <w:szCs w:val="22"/>
        </w:rPr>
        <w:t xml:space="preserve">Knowledge in the moral domain consists of universally applied rules, evaluated based on their intrinsic features, such as the consequences of violating </w:t>
      </w:r>
      <w:r w:rsidR="004E09BE">
        <w:rPr>
          <w:rFonts w:asciiTheme="minorHAnsi" w:eastAsiaTheme="minorHAnsi" w:hAnsiTheme="minorHAnsi" w:cstheme="minorBidi"/>
          <w:b w:val="0"/>
          <w:bCs w:val="0"/>
          <w:color w:val="auto"/>
          <w:sz w:val="22"/>
          <w:szCs w:val="22"/>
        </w:rPr>
        <w:t>said</w:t>
      </w:r>
      <w:r w:rsidR="00592469">
        <w:rPr>
          <w:rFonts w:asciiTheme="minorHAnsi" w:eastAsiaTheme="minorHAnsi" w:hAnsiTheme="minorHAnsi" w:cstheme="minorBidi"/>
          <w:b w:val="0"/>
          <w:bCs w:val="0"/>
          <w:color w:val="auto"/>
          <w:sz w:val="22"/>
          <w:szCs w:val="22"/>
        </w:rPr>
        <w:t xml:space="preserve"> rules for the</w:t>
      </w:r>
      <w:r w:rsidR="00C24EB9">
        <w:rPr>
          <w:rFonts w:asciiTheme="minorHAnsi" w:eastAsiaTheme="minorHAnsi" w:hAnsiTheme="minorHAnsi" w:cstheme="minorBidi"/>
          <w:b w:val="0"/>
          <w:bCs w:val="0"/>
          <w:color w:val="auto"/>
          <w:sz w:val="22"/>
          <w:szCs w:val="22"/>
        </w:rPr>
        <w:t xml:space="preserve"> rights and welfare of others.</w:t>
      </w:r>
      <w:r w:rsidR="008C65AA">
        <w:rPr>
          <w:rFonts w:asciiTheme="minorHAnsi" w:eastAsiaTheme="minorHAnsi" w:hAnsiTheme="minorHAnsi" w:cstheme="minorBidi"/>
          <w:b w:val="0"/>
          <w:bCs w:val="0"/>
          <w:color w:val="auto"/>
          <w:sz w:val="22"/>
          <w:szCs w:val="22"/>
        </w:rPr>
        <w:t xml:space="preserve"> </w:t>
      </w:r>
      <w:r w:rsidR="00C24EB9">
        <w:rPr>
          <w:rFonts w:asciiTheme="minorHAnsi" w:eastAsiaTheme="minorHAnsi" w:hAnsiTheme="minorHAnsi" w:cstheme="minorBidi"/>
          <w:b w:val="0"/>
          <w:bCs w:val="0"/>
          <w:color w:val="auto"/>
          <w:sz w:val="22"/>
          <w:szCs w:val="22"/>
        </w:rPr>
        <w:t xml:space="preserve"> Conversely</w:t>
      </w:r>
      <w:r w:rsidR="00592469">
        <w:rPr>
          <w:rFonts w:asciiTheme="minorHAnsi" w:eastAsiaTheme="minorHAnsi" w:hAnsiTheme="minorHAnsi" w:cstheme="minorBidi"/>
          <w:b w:val="0"/>
          <w:bCs w:val="0"/>
          <w:color w:val="auto"/>
          <w:sz w:val="22"/>
          <w:szCs w:val="22"/>
        </w:rPr>
        <w:t xml:space="preserve">, the social-conventional domain contains knowledge of norms that facilitate the smooth functioning of social groups, the form and context of which vary based on factors such as culture, experience and group membership. </w:t>
      </w:r>
      <w:r w:rsidR="008C65AA">
        <w:rPr>
          <w:rFonts w:asciiTheme="minorHAnsi" w:eastAsiaTheme="minorHAnsi" w:hAnsiTheme="minorHAnsi" w:cstheme="minorBidi"/>
          <w:b w:val="0"/>
          <w:bCs w:val="0"/>
          <w:color w:val="auto"/>
          <w:sz w:val="22"/>
          <w:szCs w:val="22"/>
        </w:rPr>
        <w:t xml:space="preserve"> </w:t>
      </w:r>
      <w:r w:rsidR="00592469">
        <w:rPr>
          <w:rFonts w:asciiTheme="minorHAnsi" w:eastAsiaTheme="minorHAnsi" w:hAnsiTheme="minorHAnsi" w:cstheme="minorBidi"/>
          <w:b w:val="0"/>
          <w:bCs w:val="0"/>
          <w:color w:val="auto"/>
          <w:sz w:val="22"/>
          <w:szCs w:val="22"/>
        </w:rPr>
        <w:t>Finally, the content of the personal/psychological domain pertains to the understanding of the self, identity, personal choice and personality, such as understanding one’s body, choice of friends,</w:t>
      </w:r>
      <w:r w:rsidR="004F72F9">
        <w:rPr>
          <w:rFonts w:asciiTheme="minorHAnsi" w:eastAsiaTheme="minorHAnsi" w:hAnsiTheme="minorHAnsi" w:cstheme="minorBidi"/>
          <w:b w:val="0"/>
          <w:bCs w:val="0"/>
          <w:color w:val="auto"/>
          <w:sz w:val="22"/>
          <w:szCs w:val="22"/>
        </w:rPr>
        <w:t xml:space="preserve"> and the </w:t>
      </w:r>
      <w:r w:rsidR="004E09BE">
        <w:rPr>
          <w:rFonts w:asciiTheme="minorHAnsi" w:eastAsiaTheme="minorHAnsi" w:hAnsiTheme="minorHAnsi" w:cstheme="minorBidi"/>
          <w:b w:val="0"/>
          <w:bCs w:val="0"/>
          <w:color w:val="auto"/>
          <w:sz w:val="22"/>
          <w:szCs w:val="22"/>
        </w:rPr>
        <w:t>origins</w:t>
      </w:r>
      <w:r w:rsidR="004F72F9">
        <w:rPr>
          <w:rFonts w:asciiTheme="minorHAnsi" w:eastAsiaTheme="minorHAnsi" w:hAnsiTheme="minorHAnsi" w:cstheme="minorBidi"/>
          <w:b w:val="0"/>
          <w:bCs w:val="0"/>
          <w:color w:val="auto"/>
          <w:sz w:val="22"/>
          <w:szCs w:val="22"/>
        </w:rPr>
        <w:t xml:space="preserve"> of one’s own and others behaviour.  </w:t>
      </w:r>
      <w:r w:rsidR="00D53BD3">
        <w:rPr>
          <w:rFonts w:asciiTheme="minorHAnsi" w:eastAsiaTheme="minorHAnsi" w:hAnsiTheme="minorHAnsi" w:cstheme="minorBidi"/>
          <w:b w:val="0"/>
          <w:bCs w:val="0"/>
          <w:color w:val="auto"/>
          <w:sz w:val="22"/>
          <w:szCs w:val="22"/>
        </w:rPr>
        <w:t>In contrast to other structural-developmental models of moral development describing the gradual differentiation of moral principles from social conventions or pragmatics (</w:t>
      </w:r>
      <w:r w:rsidR="006F3A23">
        <w:rPr>
          <w:rFonts w:asciiTheme="minorHAnsi" w:eastAsiaTheme="minorHAnsi" w:hAnsiTheme="minorHAnsi" w:cstheme="minorBidi"/>
          <w:b w:val="0"/>
          <w:bCs w:val="0"/>
          <w:color w:val="auto"/>
          <w:sz w:val="22"/>
          <w:szCs w:val="22"/>
        </w:rPr>
        <w:t>e.g.,</w:t>
      </w:r>
      <w:r w:rsidR="00D53BD3">
        <w:rPr>
          <w:rFonts w:asciiTheme="minorHAnsi" w:eastAsiaTheme="minorHAnsi" w:hAnsiTheme="minorHAnsi" w:cstheme="minorBidi"/>
          <w:b w:val="0"/>
          <w:bCs w:val="0"/>
          <w:color w:val="auto"/>
          <w:sz w:val="22"/>
          <w:szCs w:val="22"/>
        </w:rPr>
        <w:t xml:space="preserve"> Kohlberg, 1984), </w:t>
      </w:r>
      <w:r w:rsidR="004E09BE">
        <w:rPr>
          <w:rFonts w:asciiTheme="minorHAnsi" w:eastAsiaTheme="minorHAnsi" w:hAnsiTheme="minorHAnsi" w:cstheme="minorBidi"/>
          <w:b w:val="0"/>
          <w:bCs w:val="0"/>
          <w:color w:val="auto"/>
          <w:sz w:val="22"/>
          <w:szCs w:val="22"/>
        </w:rPr>
        <w:t>D</w:t>
      </w:r>
      <w:r w:rsidR="00D53BD3">
        <w:rPr>
          <w:rFonts w:asciiTheme="minorHAnsi" w:eastAsiaTheme="minorHAnsi" w:hAnsiTheme="minorHAnsi" w:cstheme="minorBidi"/>
          <w:b w:val="0"/>
          <w:bCs w:val="0"/>
          <w:color w:val="auto"/>
          <w:sz w:val="22"/>
          <w:szCs w:val="22"/>
        </w:rPr>
        <w:t xml:space="preserve">omain </w:t>
      </w:r>
      <w:r w:rsidR="004E09BE">
        <w:rPr>
          <w:rFonts w:asciiTheme="minorHAnsi" w:eastAsiaTheme="minorHAnsi" w:hAnsiTheme="minorHAnsi" w:cstheme="minorBidi"/>
          <w:b w:val="0"/>
          <w:bCs w:val="0"/>
          <w:color w:val="auto"/>
          <w:sz w:val="22"/>
          <w:szCs w:val="22"/>
        </w:rPr>
        <w:t>T</w:t>
      </w:r>
      <w:r w:rsidR="00D53BD3">
        <w:rPr>
          <w:rFonts w:asciiTheme="minorHAnsi" w:eastAsiaTheme="minorHAnsi" w:hAnsiTheme="minorHAnsi" w:cstheme="minorBidi"/>
          <w:b w:val="0"/>
          <w:bCs w:val="0"/>
          <w:color w:val="auto"/>
          <w:sz w:val="22"/>
          <w:szCs w:val="22"/>
        </w:rPr>
        <w:t>heory proposes that moral knowledge exists as distinct from, but in co-</w:t>
      </w:r>
      <w:r w:rsidR="00DF21C8">
        <w:rPr>
          <w:rFonts w:asciiTheme="minorHAnsi" w:eastAsiaTheme="minorHAnsi" w:hAnsiTheme="minorHAnsi" w:cstheme="minorBidi"/>
          <w:b w:val="0"/>
          <w:bCs w:val="0"/>
          <w:color w:val="auto"/>
          <w:sz w:val="22"/>
          <w:szCs w:val="22"/>
        </w:rPr>
        <w:t>ordination with (or in subordination to) other types of social knowledge.</w:t>
      </w:r>
      <w:r w:rsidR="00443FA6">
        <w:rPr>
          <w:rFonts w:asciiTheme="minorHAnsi" w:eastAsiaTheme="minorHAnsi" w:hAnsiTheme="minorHAnsi" w:cstheme="minorBidi"/>
          <w:b w:val="0"/>
          <w:bCs w:val="0"/>
          <w:color w:val="auto"/>
          <w:sz w:val="22"/>
          <w:szCs w:val="22"/>
        </w:rPr>
        <w:t xml:space="preserve">  </w:t>
      </w:r>
      <w:r w:rsidR="00E54CCC">
        <w:rPr>
          <w:rFonts w:asciiTheme="minorHAnsi" w:eastAsiaTheme="minorHAnsi" w:hAnsiTheme="minorHAnsi" w:cstheme="minorBidi"/>
          <w:b w:val="0"/>
          <w:bCs w:val="0"/>
          <w:color w:val="auto"/>
          <w:sz w:val="22"/>
          <w:szCs w:val="22"/>
        </w:rPr>
        <w:t xml:space="preserve">Therefore, knowledge about prosocial behaviour can exist in all domains, and each </w:t>
      </w:r>
      <w:r w:rsidR="00324068">
        <w:rPr>
          <w:rFonts w:asciiTheme="minorHAnsi" w:eastAsiaTheme="minorHAnsi" w:hAnsiTheme="minorHAnsi" w:cstheme="minorBidi"/>
          <w:b w:val="0"/>
          <w:bCs w:val="0"/>
          <w:color w:val="auto"/>
          <w:sz w:val="22"/>
          <w:szCs w:val="22"/>
        </w:rPr>
        <w:t xml:space="preserve">can </w:t>
      </w:r>
      <w:r w:rsidR="00E54CCC">
        <w:rPr>
          <w:rFonts w:asciiTheme="minorHAnsi" w:eastAsiaTheme="minorHAnsi" w:hAnsiTheme="minorHAnsi" w:cstheme="minorBidi"/>
          <w:b w:val="0"/>
          <w:bCs w:val="0"/>
          <w:color w:val="auto"/>
          <w:sz w:val="22"/>
          <w:szCs w:val="22"/>
        </w:rPr>
        <w:t>provide their own moral, social or personal motivation for performing prosocial actions.</w:t>
      </w:r>
      <w:r w:rsidR="00443FA6">
        <w:rPr>
          <w:rFonts w:asciiTheme="minorHAnsi" w:eastAsiaTheme="minorHAnsi" w:hAnsiTheme="minorHAnsi" w:cstheme="minorBidi"/>
          <w:b w:val="0"/>
          <w:bCs w:val="0"/>
          <w:color w:val="auto"/>
          <w:sz w:val="22"/>
          <w:szCs w:val="22"/>
        </w:rPr>
        <w:t xml:space="preserve">  In addition, social-conventional knowledge </w:t>
      </w:r>
      <w:r w:rsidR="00324068">
        <w:rPr>
          <w:rFonts w:asciiTheme="minorHAnsi" w:eastAsiaTheme="minorHAnsi" w:hAnsiTheme="minorHAnsi" w:cstheme="minorBidi"/>
          <w:b w:val="0"/>
          <w:bCs w:val="0"/>
          <w:color w:val="auto"/>
          <w:sz w:val="22"/>
          <w:szCs w:val="22"/>
        </w:rPr>
        <w:t>regarding gender appropriateness (</w:t>
      </w:r>
      <w:r w:rsidR="006F3A23">
        <w:rPr>
          <w:rFonts w:asciiTheme="minorHAnsi" w:eastAsiaTheme="minorHAnsi" w:hAnsiTheme="minorHAnsi" w:cstheme="minorBidi"/>
          <w:b w:val="0"/>
          <w:bCs w:val="0"/>
          <w:color w:val="auto"/>
          <w:sz w:val="22"/>
          <w:szCs w:val="22"/>
        </w:rPr>
        <w:t>i.e.,</w:t>
      </w:r>
      <w:r w:rsidR="00324068">
        <w:rPr>
          <w:rFonts w:asciiTheme="minorHAnsi" w:eastAsiaTheme="minorHAnsi" w:hAnsiTheme="minorHAnsi" w:cstheme="minorBidi"/>
          <w:b w:val="0"/>
          <w:bCs w:val="0"/>
          <w:color w:val="auto"/>
          <w:sz w:val="22"/>
          <w:szCs w:val="22"/>
        </w:rPr>
        <w:t xml:space="preserve"> the female-typing of prosocial behaviour) could</w:t>
      </w:r>
      <w:r w:rsidR="00443FA6">
        <w:rPr>
          <w:rFonts w:asciiTheme="minorHAnsi" w:eastAsiaTheme="minorHAnsi" w:hAnsiTheme="minorHAnsi" w:cstheme="minorBidi"/>
          <w:b w:val="0"/>
          <w:bCs w:val="0"/>
          <w:color w:val="auto"/>
          <w:sz w:val="22"/>
          <w:szCs w:val="22"/>
        </w:rPr>
        <w:t xml:space="preserve"> act in a limiting capacity to actions that, if guided purely by moral knowledge, would be performed consistently </w:t>
      </w:r>
      <w:r w:rsidR="00324068">
        <w:rPr>
          <w:rFonts w:asciiTheme="minorHAnsi" w:eastAsiaTheme="minorHAnsi" w:hAnsiTheme="minorHAnsi" w:cstheme="minorBidi"/>
          <w:b w:val="0"/>
          <w:bCs w:val="0"/>
          <w:color w:val="auto"/>
          <w:sz w:val="22"/>
          <w:szCs w:val="22"/>
        </w:rPr>
        <w:t xml:space="preserve">regardless of gender </w:t>
      </w:r>
      <w:r w:rsidR="00443FA6">
        <w:rPr>
          <w:rFonts w:asciiTheme="minorHAnsi" w:eastAsiaTheme="minorHAnsi" w:hAnsiTheme="minorHAnsi" w:cstheme="minorBidi"/>
          <w:b w:val="0"/>
          <w:bCs w:val="0"/>
          <w:color w:val="auto"/>
          <w:sz w:val="22"/>
          <w:szCs w:val="22"/>
        </w:rPr>
        <w:fldChar w:fldCharType="begin"/>
      </w:r>
      <w:r w:rsidR="00443FA6">
        <w:rPr>
          <w:rFonts w:asciiTheme="minorHAnsi" w:eastAsiaTheme="minorHAnsi" w:hAnsiTheme="minorHAnsi" w:cstheme="minorBidi"/>
          <w:b w:val="0"/>
          <w:bCs w:val="0"/>
          <w:color w:val="auto"/>
          <w:sz w:val="22"/>
          <w:szCs w:val="22"/>
        </w:rPr>
        <w:instrText xml:space="preserve"> ADDIN EN.CITE &lt;EndNote&gt;&lt;Cite&gt;&lt;Author&gt;Kant&lt;/Author&gt;&lt;Year&gt;2013&lt;/Year&gt;&lt;RecNum&gt;778&lt;/RecNum&gt;&lt;DisplayText&gt;(Kant, 2013)&lt;/DisplayText&gt;&lt;record&gt;&lt;rec-number&gt;778&lt;/rec-number&gt;&lt;foreign-keys&gt;&lt;key app="EN" db-id="f5p9zd5zqsratqef5sv5pz2wpve092vrdw52"&gt;778&lt;/key&gt;&lt;/foreign-keys&gt;&lt;ref-type name="Book Section"&gt;5&lt;/ref-type&gt;&lt;contributors&gt;&lt;authors&gt;&lt;author&gt;Kant, I.&lt;/author&gt;&lt;/authors&gt;&lt;secondary-authors&gt;&lt;author&gt;R. Shafer-Landau&lt;/author&gt;&lt;/secondary-authors&gt;&lt;/contributors&gt;&lt;titles&gt;&lt;title&gt;Ethical Theory: An Anthology&lt;/title&gt;&lt;secondary-title&gt;Ethical Theory: An Anthology&lt;/secondary-title&gt;&lt;/titles&gt;&lt;pages&gt;485-498&lt;/pages&gt;&lt;dates&gt;&lt;year&gt;2013&lt;/year&gt;&lt;/dates&gt;&lt;pub-location&gt;Oxford, OX&lt;/pub-location&gt;&lt;publisher&gt;John Wiley &amp;amp; Sons&lt;/publisher&gt;&lt;urls&gt;&lt;/urls&gt;&lt;/record&gt;&lt;/Cite&gt;&lt;/EndNote&gt;</w:instrText>
      </w:r>
      <w:r w:rsidR="00443FA6">
        <w:rPr>
          <w:rFonts w:asciiTheme="minorHAnsi" w:eastAsiaTheme="minorHAnsi" w:hAnsiTheme="minorHAnsi" w:cstheme="minorBidi"/>
          <w:b w:val="0"/>
          <w:bCs w:val="0"/>
          <w:color w:val="auto"/>
          <w:sz w:val="22"/>
          <w:szCs w:val="22"/>
        </w:rPr>
        <w:fldChar w:fldCharType="separate"/>
      </w:r>
      <w:r w:rsidR="00443FA6">
        <w:rPr>
          <w:rFonts w:asciiTheme="minorHAnsi" w:eastAsiaTheme="minorHAnsi" w:hAnsiTheme="minorHAnsi" w:cstheme="minorBidi"/>
          <w:b w:val="0"/>
          <w:bCs w:val="0"/>
          <w:noProof/>
          <w:color w:val="auto"/>
          <w:sz w:val="22"/>
          <w:szCs w:val="22"/>
        </w:rPr>
        <w:t>(</w:t>
      </w:r>
      <w:hyperlink w:anchor="_ENREF_25" w:tooltip="Kant, 2013 #778" w:history="1">
        <w:r w:rsidR="00930389">
          <w:rPr>
            <w:rFonts w:asciiTheme="minorHAnsi" w:eastAsiaTheme="minorHAnsi" w:hAnsiTheme="minorHAnsi" w:cstheme="minorBidi"/>
            <w:b w:val="0"/>
            <w:bCs w:val="0"/>
            <w:noProof/>
            <w:color w:val="auto"/>
            <w:sz w:val="22"/>
            <w:szCs w:val="22"/>
          </w:rPr>
          <w:t>Kant, 2013</w:t>
        </w:r>
      </w:hyperlink>
      <w:r w:rsidR="00443FA6">
        <w:rPr>
          <w:rFonts w:asciiTheme="minorHAnsi" w:eastAsiaTheme="minorHAnsi" w:hAnsiTheme="minorHAnsi" w:cstheme="minorBidi"/>
          <w:b w:val="0"/>
          <w:bCs w:val="0"/>
          <w:noProof/>
          <w:color w:val="auto"/>
          <w:sz w:val="22"/>
          <w:szCs w:val="22"/>
        </w:rPr>
        <w:t>)</w:t>
      </w:r>
      <w:r w:rsidR="00443FA6">
        <w:rPr>
          <w:rFonts w:asciiTheme="minorHAnsi" w:eastAsiaTheme="minorHAnsi" w:hAnsiTheme="minorHAnsi" w:cstheme="minorBidi"/>
          <w:b w:val="0"/>
          <w:bCs w:val="0"/>
          <w:color w:val="auto"/>
          <w:sz w:val="22"/>
          <w:szCs w:val="22"/>
        </w:rPr>
        <w:fldChar w:fldCharType="end"/>
      </w:r>
      <w:r w:rsidR="00443FA6">
        <w:rPr>
          <w:rFonts w:asciiTheme="minorHAnsi" w:eastAsiaTheme="minorHAnsi" w:hAnsiTheme="minorHAnsi" w:cstheme="minorBidi"/>
          <w:b w:val="0"/>
          <w:bCs w:val="0"/>
          <w:color w:val="auto"/>
          <w:sz w:val="22"/>
          <w:szCs w:val="22"/>
        </w:rPr>
        <w:t>.</w:t>
      </w:r>
      <w:r w:rsidR="00324068">
        <w:rPr>
          <w:rFonts w:asciiTheme="minorHAnsi" w:eastAsiaTheme="minorHAnsi" w:hAnsiTheme="minorHAnsi" w:cstheme="minorBidi"/>
          <w:b w:val="0"/>
          <w:bCs w:val="0"/>
          <w:color w:val="auto"/>
          <w:sz w:val="22"/>
          <w:szCs w:val="22"/>
        </w:rPr>
        <w:t xml:space="preserve">  </w:t>
      </w:r>
    </w:p>
    <w:p w:rsidR="008A4C10" w:rsidRPr="00E54CCC" w:rsidRDefault="00CB4F98" w:rsidP="00C728E8">
      <w:pPr>
        <w:pStyle w:val="Heading1"/>
        <w:keepLines w:val="0"/>
        <w:spacing w:before="120" w:after="120"/>
        <w:ind w:firstLine="720"/>
        <w:contextualSpacing/>
        <w:jc w:val="left"/>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However</w:t>
      </w:r>
      <w:r w:rsidR="007728A6" w:rsidRPr="00E54CCC">
        <w:rPr>
          <w:rFonts w:asciiTheme="minorHAnsi" w:eastAsiaTheme="minorHAnsi" w:hAnsiTheme="minorHAnsi" w:cstheme="minorBidi"/>
          <w:b w:val="0"/>
          <w:bCs w:val="0"/>
          <w:color w:val="auto"/>
          <w:sz w:val="22"/>
          <w:szCs w:val="22"/>
        </w:rPr>
        <w:t xml:space="preserve">, </w:t>
      </w:r>
      <w:r w:rsidR="008A4C10" w:rsidRPr="00E54CCC">
        <w:rPr>
          <w:rFonts w:asciiTheme="minorHAnsi" w:eastAsiaTheme="minorHAnsi" w:hAnsiTheme="minorHAnsi" w:cstheme="minorBidi"/>
          <w:b w:val="0"/>
          <w:bCs w:val="0"/>
          <w:color w:val="auto"/>
          <w:sz w:val="22"/>
          <w:szCs w:val="22"/>
        </w:rPr>
        <w:t>research in adulthood</w:t>
      </w:r>
      <w:r w:rsidR="007728A6" w:rsidRPr="00E54CCC">
        <w:rPr>
          <w:rFonts w:asciiTheme="minorHAnsi" w:eastAsiaTheme="minorHAnsi" w:hAnsiTheme="minorHAnsi" w:cstheme="minorBidi"/>
          <w:b w:val="0"/>
          <w:bCs w:val="0"/>
          <w:color w:val="auto"/>
          <w:sz w:val="22"/>
          <w:szCs w:val="22"/>
        </w:rPr>
        <w:t xml:space="preserve"> suggest</w:t>
      </w:r>
      <w:r w:rsidR="008A4C10" w:rsidRPr="00E54CCC">
        <w:rPr>
          <w:rFonts w:asciiTheme="minorHAnsi" w:eastAsiaTheme="minorHAnsi" w:hAnsiTheme="minorHAnsi" w:cstheme="minorBidi"/>
          <w:b w:val="0"/>
          <w:bCs w:val="0"/>
          <w:color w:val="auto"/>
          <w:sz w:val="22"/>
          <w:szCs w:val="22"/>
        </w:rPr>
        <w:t>s</w:t>
      </w:r>
      <w:r w:rsidR="007728A6" w:rsidRPr="00E54CCC">
        <w:rPr>
          <w:rFonts w:asciiTheme="minorHAnsi" w:eastAsiaTheme="minorHAnsi" w:hAnsiTheme="minorHAnsi" w:cstheme="minorBidi"/>
          <w:b w:val="0"/>
          <w:bCs w:val="0"/>
          <w:color w:val="auto"/>
          <w:sz w:val="22"/>
          <w:szCs w:val="22"/>
        </w:rPr>
        <w:t xml:space="preserve"> that </w:t>
      </w:r>
      <w:r w:rsidR="00F33402">
        <w:rPr>
          <w:rFonts w:asciiTheme="minorHAnsi" w:eastAsiaTheme="minorHAnsi" w:hAnsiTheme="minorHAnsi" w:cstheme="minorBidi"/>
          <w:b w:val="0"/>
          <w:bCs w:val="0"/>
          <w:color w:val="auto"/>
          <w:sz w:val="22"/>
          <w:szCs w:val="22"/>
        </w:rPr>
        <w:t>social-conventional knowledge regarding</w:t>
      </w:r>
      <w:r w:rsidR="007728A6" w:rsidRPr="00E54CCC">
        <w:rPr>
          <w:rFonts w:asciiTheme="minorHAnsi" w:eastAsiaTheme="minorHAnsi" w:hAnsiTheme="minorHAnsi" w:cstheme="minorBidi"/>
          <w:b w:val="0"/>
          <w:bCs w:val="0"/>
          <w:color w:val="auto"/>
          <w:sz w:val="22"/>
          <w:szCs w:val="22"/>
        </w:rPr>
        <w:t xml:space="preserve"> </w:t>
      </w:r>
      <w:r w:rsidR="00EE53E0">
        <w:rPr>
          <w:rFonts w:asciiTheme="minorHAnsi" w:eastAsiaTheme="minorHAnsi" w:hAnsiTheme="minorHAnsi" w:cstheme="minorBidi"/>
          <w:b w:val="0"/>
          <w:bCs w:val="0"/>
          <w:color w:val="auto"/>
          <w:sz w:val="22"/>
          <w:szCs w:val="22"/>
        </w:rPr>
        <w:t xml:space="preserve">the gender-appropriateness of </w:t>
      </w:r>
      <w:r w:rsidR="007728A6" w:rsidRPr="00E54CCC">
        <w:rPr>
          <w:rFonts w:asciiTheme="minorHAnsi" w:eastAsiaTheme="minorHAnsi" w:hAnsiTheme="minorHAnsi" w:cstheme="minorBidi"/>
          <w:b w:val="0"/>
          <w:bCs w:val="0"/>
          <w:color w:val="auto"/>
          <w:sz w:val="22"/>
          <w:szCs w:val="22"/>
        </w:rPr>
        <w:t xml:space="preserve">prosocial behaviour </w:t>
      </w:r>
      <w:r w:rsidR="00F33402">
        <w:rPr>
          <w:rFonts w:asciiTheme="minorHAnsi" w:eastAsiaTheme="minorHAnsi" w:hAnsiTheme="minorHAnsi" w:cstheme="minorBidi"/>
          <w:b w:val="0"/>
          <w:bCs w:val="0"/>
          <w:color w:val="auto"/>
          <w:sz w:val="22"/>
          <w:szCs w:val="22"/>
        </w:rPr>
        <w:t xml:space="preserve">may be </w:t>
      </w:r>
      <w:r w:rsidR="007728A6" w:rsidRPr="00E54CCC">
        <w:rPr>
          <w:rFonts w:asciiTheme="minorHAnsi" w:eastAsiaTheme="minorHAnsi" w:hAnsiTheme="minorHAnsi" w:cstheme="minorBidi"/>
          <w:b w:val="0"/>
          <w:bCs w:val="0"/>
          <w:color w:val="auto"/>
          <w:sz w:val="22"/>
          <w:szCs w:val="22"/>
        </w:rPr>
        <w:t xml:space="preserve">more complicated than the </w:t>
      </w:r>
      <w:r w:rsidR="002C5FEC" w:rsidRPr="00E54CCC">
        <w:rPr>
          <w:rFonts w:asciiTheme="minorHAnsi" w:eastAsiaTheme="minorHAnsi" w:hAnsiTheme="minorHAnsi" w:cstheme="minorBidi"/>
          <w:b w:val="0"/>
          <w:bCs w:val="0"/>
          <w:color w:val="auto"/>
          <w:sz w:val="22"/>
          <w:szCs w:val="22"/>
        </w:rPr>
        <w:t>simple idea that</w:t>
      </w:r>
      <w:r w:rsidR="007728A6" w:rsidRPr="00E54CCC">
        <w:rPr>
          <w:rFonts w:asciiTheme="minorHAnsi" w:eastAsiaTheme="minorHAnsi" w:hAnsiTheme="minorHAnsi" w:cstheme="minorBidi"/>
          <w:b w:val="0"/>
          <w:bCs w:val="0"/>
          <w:color w:val="auto"/>
          <w:sz w:val="22"/>
          <w:szCs w:val="22"/>
        </w:rPr>
        <w:t xml:space="preserve"> girls and women </w:t>
      </w:r>
      <w:r w:rsidR="002C5FEC" w:rsidRPr="00E54CCC">
        <w:rPr>
          <w:rFonts w:asciiTheme="minorHAnsi" w:eastAsiaTheme="minorHAnsi" w:hAnsiTheme="minorHAnsi" w:cstheme="minorBidi"/>
          <w:b w:val="0"/>
          <w:bCs w:val="0"/>
          <w:color w:val="auto"/>
          <w:sz w:val="22"/>
          <w:szCs w:val="22"/>
        </w:rPr>
        <w:t>are</w:t>
      </w:r>
      <w:r w:rsidR="007728A6" w:rsidRPr="00E54CCC">
        <w:rPr>
          <w:rFonts w:asciiTheme="minorHAnsi" w:eastAsiaTheme="minorHAnsi" w:hAnsiTheme="minorHAnsi" w:cstheme="minorBidi"/>
          <w:b w:val="0"/>
          <w:bCs w:val="0"/>
          <w:color w:val="auto"/>
          <w:sz w:val="22"/>
          <w:szCs w:val="22"/>
        </w:rPr>
        <w:t xml:space="preserve"> </w:t>
      </w:r>
      <w:r w:rsidR="00EE53E0">
        <w:rPr>
          <w:rFonts w:asciiTheme="minorHAnsi" w:eastAsiaTheme="minorHAnsi" w:hAnsiTheme="minorHAnsi" w:cstheme="minorBidi"/>
          <w:b w:val="0"/>
          <w:bCs w:val="0"/>
          <w:color w:val="auto"/>
          <w:sz w:val="22"/>
          <w:szCs w:val="22"/>
        </w:rPr>
        <w:t xml:space="preserve">uniformly </w:t>
      </w:r>
      <w:r w:rsidR="002C5FEC" w:rsidRPr="00E54CCC">
        <w:rPr>
          <w:rFonts w:asciiTheme="minorHAnsi" w:eastAsiaTheme="minorHAnsi" w:hAnsiTheme="minorHAnsi" w:cstheme="minorBidi"/>
          <w:b w:val="0"/>
          <w:bCs w:val="0"/>
          <w:color w:val="auto"/>
          <w:sz w:val="22"/>
          <w:szCs w:val="22"/>
        </w:rPr>
        <w:t>more prosocial than boys and men</w:t>
      </w:r>
      <w:r w:rsidR="00B06E84" w:rsidRPr="00E54CCC">
        <w:rPr>
          <w:rFonts w:asciiTheme="minorHAnsi" w:eastAsiaTheme="minorHAnsi" w:hAnsiTheme="minorHAnsi" w:cstheme="minorBidi"/>
          <w:b w:val="0"/>
          <w:bCs w:val="0"/>
          <w:color w:val="auto"/>
          <w:sz w:val="22"/>
          <w:szCs w:val="22"/>
        </w:rPr>
        <w:t xml:space="preserve">.  </w:t>
      </w:r>
      <w:r>
        <w:rPr>
          <w:rFonts w:asciiTheme="minorHAnsi" w:eastAsiaTheme="minorHAnsi" w:hAnsiTheme="minorHAnsi" w:cstheme="minorBidi"/>
          <w:b w:val="0"/>
          <w:bCs w:val="0"/>
          <w:color w:val="auto"/>
          <w:sz w:val="22"/>
          <w:szCs w:val="22"/>
        </w:rPr>
        <w:t>Instead</w:t>
      </w:r>
      <w:r w:rsidR="0098644E" w:rsidRPr="00E54CCC">
        <w:rPr>
          <w:rFonts w:asciiTheme="minorHAnsi" w:eastAsiaTheme="minorHAnsi" w:hAnsiTheme="minorHAnsi" w:cstheme="minorBidi"/>
          <w:b w:val="0"/>
          <w:bCs w:val="0"/>
          <w:color w:val="auto"/>
          <w:sz w:val="22"/>
          <w:szCs w:val="22"/>
        </w:rPr>
        <w:t xml:space="preserve"> </w:t>
      </w:r>
      <w:r w:rsidR="00FD754C" w:rsidRPr="00E54CCC">
        <w:rPr>
          <w:rFonts w:asciiTheme="minorHAnsi" w:eastAsiaTheme="minorHAnsi" w:hAnsiTheme="minorHAnsi" w:cstheme="minorBidi"/>
          <w:b w:val="0"/>
          <w:bCs w:val="0"/>
          <w:color w:val="auto"/>
          <w:sz w:val="22"/>
          <w:szCs w:val="22"/>
        </w:rPr>
        <w:t xml:space="preserve">men and women tend to express prosociality in ways that are congruent with their gender role </w:t>
      </w:r>
      <w:r w:rsidR="00FD754C" w:rsidRPr="00E54CCC">
        <w:rPr>
          <w:rFonts w:asciiTheme="minorHAnsi" w:eastAsiaTheme="minorHAnsi" w:hAnsiTheme="minorHAnsi" w:cstheme="minorBidi"/>
          <w:b w:val="0"/>
          <w:bCs w:val="0"/>
          <w:color w:val="auto"/>
          <w:sz w:val="22"/>
          <w:szCs w:val="22"/>
        </w:rPr>
        <w:fldChar w:fldCharType="begin"/>
      </w:r>
      <w:r w:rsidR="00F94F8C" w:rsidRPr="00E54CCC">
        <w:rPr>
          <w:rFonts w:asciiTheme="minorHAnsi" w:eastAsiaTheme="minorHAnsi" w:hAnsiTheme="minorHAnsi" w:cstheme="minorBidi"/>
          <w:b w:val="0"/>
          <w:bCs w:val="0"/>
          <w:color w:val="auto"/>
          <w:sz w:val="22"/>
          <w:szCs w:val="22"/>
        </w:rPr>
        <w:instrText xml:space="preserve"> ADDIN EN.CITE &lt;EndNote&gt;&lt;Cite&gt;&lt;Author&gt;Eagly&lt;/Author&gt;&lt;Year&gt;2009&lt;/Year&gt;&lt;RecNum&gt;105&lt;/RecNum&gt;&lt;DisplayText&gt;(Eagly, 2009)&lt;/DisplayText&gt;&lt;record&gt;&lt;rec-number&gt;105&lt;/rec-number&gt;&lt;foreign-keys&gt;&lt;key app="EN" db-id="f5p9zd5zqsratqef5sv5pz2wpve092vrdw52"&gt;105&lt;/key&gt;&lt;/foreign-keys&gt;&lt;ref-type name="Journal Article"&gt;17&lt;/ref-type&gt;&lt;contributors&gt;&lt;authors&gt;&lt;author&gt;Eagly, A. H.&lt;/author&gt;&lt;/authors&gt;&lt;/contributors&gt;&lt;titles&gt;&lt;title&gt;The His and Hers of Prosocial Behavior: An Examination of the Social Psychology of Gender&lt;/title&gt;&lt;secondary-title&gt;American Psychologist&lt;/secondary-title&gt;&lt;/titles&gt;&lt;periodical&gt;&lt;full-title&gt;American Psychologist&lt;/full-title&gt;&lt;/periodical&gt;&lt;pages&gt;644-658&lt;/pages&gt;&lt;volume&gt;64&lt;/volume&gt;&lt;dates&gt;&lt;year&gt;2009&lt;/year&gt;&lt;/dates&gt;&lt;urls&gt;&lt;/urls&gt;&lt;electronic-resource-num&gt;10.1037/0003-066X.64.8644&lt;/electronic-resource-num&gt;&lt;/record&gt;&lt;/Cite&gt;&lt;/EndNote&gt;</w:instrText>
      </w:r>
      <w:r w:rsidR="00FD754C" w:rsidRPr="00E54CCC">
        <w:rPr>
          <w:rFonts w:asciiTheme="minorHAnsi" w:eastAsiaTheme="minorHAnsi" w:hAnsiTheme="minorHAnsi" w:cstheme="minorBidi"/>
          <w:b w:val="0"/>
          <w:bCs w:val="0"/>
          <w:color w:val="auto"/>
          <w:sz w:val="22"/>
          <w:szCs w:val="22"/>
        </w:rPr>
        <w:fldChar w:fldCharType="separate"/>
      </w:r>
      <w:r w:rsidR="00FD754C" w:rsidRPr="00E54CCC">
        <w:rPr>
          <w:rFonts w:asciiTheme="minorHAnsi" w:eastAsiaTheme="minorHAnsi" w:hAnsiTheme="minorHAnsi" w:cstheme="minorBidi"/>
          <w:b w:val="0"/>
          <w:bCs w:val="0"/>
          <w:color w:val="auto"/>
          <w:sz w:val="22"/>
          <w:szCs w:val="22"/>
        </w:rPr>
        <w:t>(</w:t>
      </w:r>
      <w:hyperlink w:anchor="_ENREF_8" w:tooltip="Eagly, 2009 #105" w:history="1">
        <w:r w:rsidR="00930389" w:rsidRPr="00E54CCC">
          <w:rPr>
            <w:rFonts w:asciiTheme="minorHAnsi" w:eastAsiaTheme="minorHAnsi" w:hAnsiTheme="minorHAnsi" w:cstheme="minorBidi"/>
            <w:b w:val="0"/>
            <w:bCs w:val="0"/>
            <w:color w:val="auto"/>
            <w:sz w:val="22"/>
            <w:szCs w:val="22"/>
          </w:rPr>
          <w:t>Eagly, 2009</w:t>
        </w:r>
      </w:hyperlink>
      <w:r w:rsidR="00FD754C" w:rsidRPr="00E54CCC">
        <w:rPr>
          <w:rFonts w:asciiTheme="minorHAnsi" w:eastAsiaTheme="minorHAnsi" w:hAnsiTheme="minorHAnsi" w:cstheme="minorBidi"/>
          <w:b w:val="0"/>
          <w:bCs w:val="0"/>
          <w:color w:val="auto"/>
          <w:sz w:val="22"/>
          <w:szCs w:val="22"/>
        </w:rPr>
        <w:t>)</w:t>
      </w:r>
      <w:r w:rsidR="00FD754C" w:rsidRPr="00E54CCC">
        <w:rPr>
          <w:rFonts w:asciiTheme="minorHAnsi" w:eastAsiaTheme="minorHAnsi" w:hAnsiTheme="minorHAnsi" w:cstheme="minorBidi"/>
          <w:b w:val="0"/>
          <w:bCs w:val="0"/>
          <w:color w:val="auto"/>
          <w:sz w:val="22"/>
          <w:szCs w:val="22"/>
        </w:rPr>
        <w:fldChar w:fldCharType="end"/>
      </w:r>
      <w:r w:rsidR="0098644E" w:rsidRPr="00E54CCC">
        <w:rPr>
          <w:rFonts w:asciiTheme="minorHAnsi" w:eastAsiaTheme="minorHAnsi" w:hAnsiTheme="minorHAnsi" w:cstheme="minorBidi"/>
          <w:b w:val="0"/>
          <w:bCs w:val="0"/>
          <w:color w:val="auto"/>
          <w:sz w:val="22"/>
          <w:szCs w:val="22"/>
        </w:rPr>
        <w:t xml:space="preserve"> with </w:t>
      </w:r>
      <w:r w:rsidR="00FD754C" w:rsidRPr="00E54CCC">
        <w:rPr>
          <w:rFonts w:asciiTheme="minorHAnsi" w:eastAsiaTheme="minorHAnsi" w:hAnsiTheme="minorHAnsi" w:cstheme="minorBidi"/>
          <w:b w:val="0"/>
          <w:bCs w:val="0"/>
          <w:color w:val="auto"/>
          <w:sz w:val="22"/>
          <w:szCs w:val="22"/>
        </w:rPr>
        <w:t>the typically masculine</w:t>
      </w:r>
      <w:r>
        <w:rPr>
          <w:rFonts w:asciiTheme="minorHAnsi" w:eastAsiaTheme="minorHAnsi" w:hAnsiTheme="minorHAnsi" w:cstheme="minorBidi"/>
          <w:b w:val="0"/>
          <w:bCs w:val="0"/>
          <w:color w:val="auto"/>
          <w:sz w:val="22"/>
          <w:szCs w:val="22"/>
        </w:rPr>
        <w:t>/agentic</w:t>
      </w:r>
      <w:r w:rsidR="00FD754C" w:rsidRPr="00E54CCC">
        <w:rPr>
          <w:rFonts w:asciiTheme="minorHAnsi" w:eastAsiaTheme="minorHAnsi" w:hAnsiTheme="minorHAnsi" w:cstheme="minorBidi"/>
          <w:b w:val="0"/>
          <w:bCs w:val="0"/>
          <w:color w:val="auto"/>
          <w:sz w:val="22"/>
          <w:szCs w:val="22"/>
        </w:rPr>
        <w:t xml:space="preserve"> vs</w:t>
      </w:r>
      <w:r w:rsidR="00B06E84" w:rsidRPr="00E54CCC">
        <w:rPr>
          <w:rFonts w:asciiTheme="minorHAnsi" w:eastAsiaTheme="minorHAnsi" w:hAnsiTheme="minorHAnsi" w:cstheme="minorBidi"/>
          <w:b w:val="0"/>
          <w:bCs w:val="0"/>
          <w:color w:val="auto"/>
          <w:sz w:val="22"/>
          <w:szCs w:val="22"/>
        </w:rPr>
        <w:t xml:space="preserve">. </w:t>
      </w:r>
      <w:r>
        <w:rPr>
          <w:rFonts w:asciiTheme="minorHAnsi" w:eastAsiaTheme="minorHAnsi" w:hAnsiTheme="minorHAnsi" w:cstheme="minorBidi"/>
          <w:b w:val="0"/>
          <w:bCs w:val="0"/>
          <w:color w:val="auto"/>
          <w:sz w:val="22"/>
          <w:szCs w:val="22"/>
        </w:rPr>
        <w:t>feminine/</w:t>
      </w:r>
      <w:r w:rsidR="00FD754C" w:rsidRPr="00E54CCC">
        <w:rPr>
          <w:rFonts w:asciiTheme="minorHAnsi" w:eastAsiaTheme="minorHAnsi" w:hAnsiTheme="minorHAnsi" w:cstheme="minorBidi"/>
          <w:b w:val="0"/>
          <w:bCs w:val="0"/>
          <w:color w:val="auto"/>
          <w:sz w:val="22"/>
          <w:szCs w:val="22"/>
        </w:rPr>
        <w:t xml:space="preserve">communal qualities of a behaviour </w:t>
      </w:r>
      <w:r w:rsidR="0098644E" w:rsidRPr="00E54CCC">
        <w:rPr>
          <w:rFonts w:asciiTheme="minorHAnsi" w:eastAsiaTheme="minorHAnsi" w:hAnsiTheme="minorHAnsi" w:cstheme="minorBidi"/>
          <w:b w:val="0"/>
          <w:bCs w:val="0"/>
          <w:color w:val="auto"/>
          <w:sz w:val="22"/>
          <w:szCs w:val="22"/>
        </w:rPr>
        <w:lastRenderedPageBreak/>
        <w:t>influencing</w:t>
      </w:r>
      <w:r w:rsidR="00FD754C" w:rsidRPr="00E54CCC">
        <w:rPr>
          <w:rFonts w:asciiTheme="minorHAnsi" w:eastAsiaTheme="minorHAnsi" w:hAnsiTheme="minorHAnsi" w:cstheme="minorBidi"/>
          <w:b w:val="0"/>
          <w:bCs w:val="0"/>
          <w:color w:val="auto"/>
          <w:sz w:val="22"/>
          <w:szCs w:val="22"/>
        </w:rPr>
        <w:t xml:space="preserve"> the ways in which men and women choose to </w:t>
      </w:r>
      <w:r w:rsidR="009A344A" w:rsidRPr="00E54CCC">
        <w:rPr>
          <w:rFonts w:asciiTheme="minorHAnsi" w:eastAsiaTheme="minorHAnsi" w:hAnsiTheme="minorHAnsi" w:cstheme="minorBidi"/>
          <w:b w:val="0"/>
          <w:bCs w:val="0"/>
          <w:color w:val="auto"/>
          <w:sz w:val="22"/>
          <w:szCs w:val="22"/>
        </w:rPr>
        <w:t>act prosocially</w:t>
      </w:r>
      <w:r w:rsidR="00B06E84" w:rsidRPr="00E54CCC">
        <w:rPr>
          <w:rFonts w:asciiTheme="minorHAnsi" w:eastAsiaTheme="minorHAnsi" w:hAnsiTheme="minorHAnsi" w:cstheme="minorBidi"/>
          <w:b w:val="0"/>
          <w:bCs w:val="0"/>
          <w:color w:val="auto"/>
          <w:sz w:val="22"/>
          <w:szCs w:val="22"/>
        </w:rPr>
        <w:t xml:space="preserve">.  </w:t>
      </w:r>
      <w:r w:rsidR="00C728E8">
        <w:rPr>
          <w:rFonts w:asciiTheme="minorHAnsi" w:eastAsiaTheme="minorHAnsi" w:hAnsiTheme="minorHAnsi" w:cstheme="minorBidi"/>
          <w:b w:val="0"/>
          <w:bCs w:val="0"/>
          <w:color w:val="auto"/>
          <w:sz w:val="22"/>
          <w:szCs w:val="22"/>
        </w:rPr>
        <w:t>These ideas are in line with</w:t>
      </w:r>
      <w:r w:rsidR="00D045D2" w:rsidRPr="00E54CCC">
        <w:rPr>
          <w:rFonts w:asciiTheme="minorHAnsi" w:eastAsiaTheme="minorHAnsi" w:hAnsiTheme="minorHAnsi" w:cstheme="minorBidi"/>
          <w:b w:val="0"/>
          <w:bCs w:val="0"/>
          <w:color w:val="auto"/>
          <w:sz w:val="22"/>
          <w:szCs w:val="22"/>
        </w:rPr>
        <w:t xml:space="preserve"> social role theory, which proposes that adults perform behaviours</w:t>
      </w:r>
      <w:r w:rsidR="00C728E8">
        <w:rPr>
          <w:rFonts w:asciiTheme="minorHAnsi" w:eastAsiaTheme="minorHAnsi" w:hAnsiTheme="minorHAnsi" w:cstheme="minorBidi"/>
          <w:b w:val="0"/>
          <w:bCs w:val="0"/>
          <w:color w:val="auto"/>
          <w:sz w:val="22"/>
          <w:szCs w:val="22"/>
        </w:rPr>
        <w:t>, and reason about moral dilemmas, in ways</w:t>
      </w:r>
      <w:r w:rsidR="00D045D2" w:rsidRPr="00E54CCC">
        <w:rPr>
          <w:rFonts w:asciiTheme="minorHAnsi" w:eastAsiaTheme="minorHAnsi" w:hAnsiTheme="minorHAnsi" w:cstheme="minorBidi"/>
          <w:b w:val="0"/>
          <w:bCs w:val="0"/>
          <w:color w:val="auto"/>
          <w:sz w:val="22"/>
          <w:szCs w:val="22"/>
        </w:rPr>
        <w:t xml:space="preserve"> that </w:t>
      </w:r>
      <w:r w:rsidR="00C728E8">
        <w:rPr>
          <w:rFonts w:asciiTheme="minorHAnsi" w:eastAsiaTheme="minorHAnsi" w:hAnsiTheme="minorHAnsi" w:cstheme="minorBidi"/>
          <w:b w:val="0"/>
          <w:bCs w:val="0"/>
          <w:color w:val="auto"/>
          <w:sz w:val="22"/>
          <w:szCs w:val="22"/>
        </w:rPr>
        <w:t>reflect the</w:t>
      </w:r>
      <w:r w:rsidR="00D045D2" w:rsidRPr="00E54CCC">
        <w:rPr>
          <w:rFonts w:asciiTheme="minorHAnsi" w:eastAsiaTheme="minorHAnsi" w:hAnsiTheme="minorHAnsi" w:cstheme="minorBidi"/>
          <w:b w:val="0"/>
          <w:bCs w:val="0"/>
          <w:color w:val="auto"/>
          <w:sz w:val="22"/>
          <w:szCs w:val="22"/>
        </w:rPr>
        <w:t xml:space="preserve"> social roles they occupy in society </w:t>
      </w:r>
      <w:r w:rsidR="00D045D2" w:rsidRPr="00E54CCC">
        <w:rPr>
          <w:rFonts w:asciiTheme="minorHAnsi" w:eastAsiaTheme="minorHAnsi" w:hAnsiTheme="minorHAnsi" w:cstheme="minorBidi"/>
          <w:b w:val="0"/>
          <w:bCs w:val="0"/>
          <w:color w:val="auto"/>
          <w:sz w:val="22"/>
          <w:szCs w:val="22"/>
        </w:rPr>
        <w:fldChar w:fldCharType="begin"/>
      </w:r>
      <w:r w:rsidR="00D045D2" w:rsidRPr="00E54CCC">
        <w:rPr>
          <w:rFonts w:asciiTheme="minorHAnsi" w:eastAsiaTheme="minorHAnsi" w:hAnsiTheme="minorHAnsi" w:cstheme="minorBidi"/>
          <w:b w:val="0"/>
          <w:bCs w:val="0"/>
          <w:color w:val="auto"/>
          <w:sz w:val="22"/>
          <w:szCs w:val="22"/>
        </w:rPr>
        <w:instrText xml:space="preserve"> ADDIN EN.CITE &lt;EndNote&gt;&lt;Cite&gt;&lt;Author&gt;Eagly&lt;/Author&gt;&lt;Year&gt;1987&lt;/Year&gt;&lt;RecNum&gt;183&lt;/RecNum&gt;&lt;DisplayText&gt;(Eagly, 1987; Eagly, Wood, &amp;amp; Diekman, 2000)&lt;/DisplayText&gt;&lt;record&gt;&lt;rec-number&gt;183&lt;/rec-number&gt;&lt;foreign-keys&gt;&lt;key app="EN" db-id="f5p9zd5zqsratqef5sv5pz2wpve092vrdw52"&gt;183&lt;/key&gt;&lt;/foreign-keys&gt;&lt;ref-type name="Book Section"&gt;5&lt;/ref-type&gt;&lt;contributors&gt;&lt;authors&gt;&lt;author&gt;Eagly, A. H.&lt;/author&gt;&lt;/authors&gt;&lt;/contributors&gt;&lt;titles&gt;&lt;title&gt;Sex differences in social behavior: A social role interpretation&lt;/title&gt;&lt;/titles&gt;&lt;dates&gt;&lt;year&gt;1987&lt;/year&gt;&lt;/dates&gt;&lt;pub-location&gt;Hillsdale, NJ&lt;/pub-location&gt;&lt;publisher&gt;Erlbaum&lt;/publisher&gt;&lt;urls&gt;&lt;/urls&gt;&lt;/record&gt;&lt;/Cite&gt;&lt;Cite&gt;&lt;Author&gt;Eagly&lt;/Author&gt;&lt;Year&gt;2000&lt;/Year&gt;&lt;RecNum&gt;462&lt;/RecNum&gt;&lt;record&gt;&lt;rec-number&gt;462&lt;/rec-number&gt;&lt;foreign-keys&gt;&lt;key app="EN" db-id="f5p9zd5zqsratqef5sv5pz2wpve092vrdw52"&gt;462&lt;/key&gt;&lt;/foreign-keys&gt;&lt;ref-type name="Book Section"&gt;5&lt;/ref-type&gt;&lt;contributors&gt;&lt;authors&gt;&lt;author&gt;Eagly, A. H.&lt;/author&gt;&lt;author&gt;Wood, W.&lt;/author&gt;&lt;author&gt;Diekman, A. B.&lt;/author&gt;&lt;/authors&gt;&lt;secondary-authors&gt;&lt;author&gt;T. Eckes&lt;/author&gt;&lt;author&gt;H. M. Trautner&lt;/author&gt;&lt;/secondary-authors&gt;&lt;/contributors&gt;&lt;titles&gt;&lt;title&gt;Social Role Theory of Sex Differences and Similarities: A Current Appraisal&lt;/title&gt;&lt;secondary-title&gt;The Developmental Social Psychology of Gender&lt;/secondary-title&gt;&lt;/titles&gt;&lt;dates&gt;&lt;year&gt;2000&lt;/year&gt;&lt;/dates&gt;&lt;pub-location&gt;Mahwah, NJ&lt;/pub-location&gt;&lt;publisher&gt;Lawrence Erlbaum Associates&lt;/publisher&gt;&lt;urls&gt;&lt;/urls&gt;&lt;/record&gt;&lt;/Cite&gt;&lt;/EndNote&gt;</w:instrText>
      </w:r>
      <w:r w:rsidR="00D045D2" w:rsidRPr="00E54CCC">
        <w:rPr>
          <w:rFonts w:asciiTheme="minorHAnsi" w:eastAsiaTheme="minorHAnsi" w:hAnsiTheme="minorHAnsi" w:cstheme="minorBidi"/>
          <w:b w:val="0"/>
          <w:bCs w:val="0"/>
          <w:color w:val="auto"/>
          <w:sz w:val="22"/>
          <w:szCs w:val="22"/>
        </w:rPr>
        <w:fldChar w:fldCharType="separate"/>
      </w:r>
      <w:r w:rsidR="00D045D2" w:rsidRPr="00E54CCC">
        <w:rPr>
          <w:rFonts w:asciiTheme="minorHAnsi" w:eastAsiaTheme="minorHAnsi" w:hAnsiTheme="minorHAnsi" w:cstheme="minorBidi"/>
          <w:b w:val="0"/>
          <w:bCs w:val="0"/>
          <w:color w:val="auto"/>
          <w:sz w:val="22"/>
          <w:szCs w:val="22"/>
        </w:rPr>
        <w:t>(</w:t>
      </w:r>
      <w:hyperlink w:anchor="_ENREF_7" w:tooltip="Eagly, 1987 #183" w:history="1">
        <w:r w:rsidR="00930389" w:rsidRPr="00E54CCC">
          <w:rPr>
            <w:rFonts w:asciiTheme="minorHAnsi" w:eastAsiaTheme="minorHAnsi" w:hAnsiTheme="minorHAnsi" w:cstheme="minorBidi"/>
            <w:b w:val="0"/>
            <w:bCs w:val="0"/>
            <w:color w:val="auto"/>
            <w:sz w:val="22"/>
            <w:szCs w:val="22"/>
          </w:rPr>
          <w:t>Eagly, 1987</w:t>
        </w:r>
      </w:hyperlink>
      <w:r w:rsidR="00D045D2" w:rsidRPr="00E54CCC">
        <w:rPr>
          <w:rFonts w:asciiTheme="minorHAnsi" w:eastAsiaTheme="minorHAnsi" w:hAnsiTheme="minorHAnsi" w:cstheme="minorBidi"/>
          <w:b w:val="0"/>
          <w:bCs w:val="0"/>
          <w:color w:val="auto"/>
          <w:sz w:val="22"/>
          <w:szCs w:val="22"/>
        </w:rPr>
        <w:t xml:space="preserve">; </w:t>
      </w:r>
      <w:hyperlink w:anchor="_ENREF_9" w:tooltip="Eagly, 2000 #462" w:history="1">
        <w:r w:rsidR="00930389" w:rsidRPr="00E54CCC">
          <w:rPr>
            <w:rFonts w:asciiTheme="minorHAnsi" w:eastAsiaTheme="minorHAnsi" w:hAnsiTheme="minorHAnsi" w:cstheme="minorBidi"/>
            <w:b w:val="0"/>
            <w:bCs w:val="0"/>
            <w:color w:val="auto"/>
            <w:sz w:val="22"/>
            <w:szCs w:val="22"/>
          </w:rPr>
          <w:t>Eagly, Wood, &amp; Diekman, 2000</w:t>
        </w:r>
      </w:hyperlink>
      <w:r w:rsidR="00D045D2" w:rsidRPr="00E54CCC">
        <w:rPr>
          <w:rFonts w:asciiTheme="minorHAnsi" w:eastAsiaTheme="minorHAnsi" w:hAnsiTheme="minorHAnsi" w:cstheme="minorBidi"/>
          <w:b w:val="0"/>
          <w:bCs w:val="0"/>
          <w:color w:val="auto"/>
          <w:sz w:val="22"/>
          <w:szCs w:val="22"/>
        </w:rPr>
        <w:t>)</w:t>
      </w:r>
      <w:r w:rsidR="00D045D2" w:rsidRPr="00E54CCC">
        <w:rPr>
          <w:rFonts w:asciiTheme="minorHAnsi" w:eastAsiaTheme="minorHAnsi" w:hAnsiTheme="minorHAnsi" w:cstheme="minorBidi"/>
          <w:b w:val="0"/>
          <w:bCs w:val="0"/>
          <w:color w:val="auto"/>
          <w:sz w:val="22"/>
          <w:szCs w:val="22"/>
        </w:rPr>
        <w:fldChar w:fldCharType="end"/>
      </w:r>
      <w:r w:rsidR="00D045D2" w:rsidRPr="00E54CCC">
        <w:rPr>
          <w:rFonts w:asciiTheme="minorHAnsi" w:eastAsiaTheme="minorHAnsi" w:hAnsiTheme="minorHAnsi" w:cstheme="minorBidi"/>
          <w:b w:val="0"/>
          <w:bCs w:val="0"/>
          <w:color w:val="auto"/>
          <w:sz w:val="22"/>
          <w:szCs w:val="22"/>
        </w:rPr>
        <w:t xml:space="preserve">. </w:t>
      </w:r>
      <w:r w:rsidR="00B06E84" w:rsidRPr="00E54CCC">
        <w:rPr>
          <w:rFonts w:asciiTheme="minorHAnsi" w:eastAsiaTheme="minorHAnsi" w:hAnsiTheme="minorHAnsi" w:cstheme="minorBidi"/>
          <w:b w:val="0"/>
          <w:bCs w:val="0"/>
          <w:color w:val="auto"/>
          <w:sz w:val="22"/>
          <w:szCs w:val="22"/>
        </w:rPr>
        <w:t xml:space="preserve"> </w:t>
      </w:r>
      <w:r w:rsidR="00FD754C" w:rsidRPr="00E54CCC">
        <w:rPr>
          <w:rFonts w:asciiTheme="minorHAnsi" w:eastAsiaTheme="minorHAnsi" w:hAnsiTheme="minorHAnsi" w:cstheme="minorBidi"/>
          <w:b w:val="0"/>
          <w:bCs w:val="0"/>
          <w:color w:val="auto"/>
          <w:sz w:val="22"/>
          <w:szCs w:val="22"/>
        </w:rPr>
        <w:t xml:space="preserve">For example, </w:t>
      </w:r>
      <w:r w:rsidR="008A4C10" w:rsidRPr="00E54CCC">
        <w:rPr>
          <w:rFonts w:asciiTheme="minorHAnsi" w:eastAsiaTheme="minorHAnsi" w:hAnsiTheme="minorHAnsi" w:cstheme="minorBidi"/>
          <w:b w:val="0"/>
          <w:bCs w:val="0"/>
          <w:color w:val="auto"/>
          <w:sz w:val="22"/>
          <w:szCs w:val="22"/>
        </w:rPr>
        <w:t xml:space="preserve">prosocial behaviours such as providing physical assistance and defending others are congruent with the idea of men wishing to achieve dominance and a hierarchical advantage </w:t>
      </w:r>
      <w:r w:rsidR="008A4C10" w:rsidRPr="00E54CCC">
        <w:rPr>
          <w:rFonts w:asciiTheme="minorHAnsi" w:eastAsiaTheme="minorHAnsi" w:hAnsiTheme="minorHAnsi" w:cstheme="minorBidi"/>
          <w:b w:val="0"/>
          <w:bCs w:val="0"/>
          <w:color w:val="auto"/>
          <w:sz w:val="22"/>
          <w:szCs w:val="22"/>
        </w:rPr>
        <w:fldChar w:fldCharType="begin"/>
      </w:r>
      <w:r w:rsidR="00F94F8C" w:rsidRPr="00E54CCC">
        <w:rPr>
          <w:rFonts w:asciiTheme="minorHAnsi" w:eastAsiaTheme="minorHAnsi" w:hAnsiTheme="minorHAnsi" w:cstheme="minorBidi"/>
          <w:b w:val="0"/>
          <w:bCs w:val="0"/>
          <w:color w:val="auto"/>
          <w:sz w:val="22"/>
          <w:szCs w:val="22"/>
        </w:rPr>
        <w:instrText xml:space="preserve"> ADDIN EN.CITE &lt;EndNote&gt;&lt;Cite&gt;&lt;Author&gt;Gardner&lt;/Author&gt;&lt;Year&gt;2004&lt;/Year&gt;&lt;RecNum&gt;555&lt;/RecNum&gt;&lt;DisplayText&gt;(Gardner &amp;amp; Gabriel, 2004)&lt;/DisplayText&gt;&lt;record&gt;&lt;rec-number&gt;555&lt;/rec-number&gt;&lt;foreign-keys&gt;&lt;key app="EN" db-id="f5p9zd5zqsratqef5sv5pz2wpve092vrdw52"&gt;555&lt;/key&gt;&lt;/foreign-keys&gt;&lt;ref-type name="Book Section"&gt;5&lt;/ref-type&gt;&lt;contributors&gt;&lt;authors&gt;&lt;author&gt;Gardner, W. L.&lt;/author&gt;&lt;author&gt;Gabriel, S.&lt;/author&gt;&lt;/authors&gt;&lt;secondary-authors&gt;&lt;author&gt;A. H. Eagly&lt;/author&gt;&lt;author&gt;A. Beall&lt;/author&gt;&lt;author&gt;R. J. Sternberg&lt;/author&gt;&lt;/secondary-authors&gt;&lt;/contributors&gt;&lt;titles&gt;&lt;title&gt;Gender differences in relational and collective interdependence: Implications for self-views, social behavior, and subjective well-being&lt;/title&gt;&lt;secondary-title&gt;The psychology of gender&lt;/secondary-title&gt;&lt;/titles&gt;&lt;pages&gt;169-191&lt;/pages&gt;&lt;edition&gt;2nd&lt;/edition&gt;&lt;dates&gt;&lt;year&gt;2004&lt;/year&gt;&lt;/dates&gt;&lt;pub-location&gt;New York&lt;/pub-location&gt;&lt;publisher&gt;Guildford Press&lt;/publisher&gt;&lt;urls&gt;&lt;/urls&gt;&lt;/record&gt;&lt;/Cite&gt;&lt;/EndNote&gt;</w:instrText>
      </w:r>
      <w:r w:rsidR="008A4C10" w:rsidRPr="00E54CCC">
        <w:rPr>
          <w:rFonts w:asciiTheme="minorHAnsi" w:eastAsiaTheme="minorHAnsi" w:hAnsiTheme="minorHAnsi" w:cstheme="minorBidi"/>
          <w:b w:val="0"/>
          <w:bCs w:val="0"/>
          <w:color w:val="auto"/>
          <w:sz w:val="22"/>
          <w:szCs w:val="22"/>
        </w:rPr>
        <w:fldChar w:fldCharType="separate"/>
      </w:r>
      <w:r w:rsidR="00013C17" w:rsidRPr="00E54CCC">
        <w:rPr>
          <w:rFonts w:asciiTheme="minorHAnsi" w:eastAsiaTheme="minorHAnsi" w:hAnsiTheme="minorHAnsi" w:cstheme="minorBidi"/>
          <w:b w:val="0"/>
          <w:bCs w:val="0"/>
          <w:color w:val="auto"/>
          <w:sz w:val="22"/>
          <w:szCs w:val="22"/>
        </w:rPr>
        <w:t>(</w:t>
      </w:r>
      <w:hyperlink w:anchor="_ENREF_16" w:tooltip="Gardner, 2004 #555" w:history="1">
        <w:r w:rsidR="00930389" w:rsidRPr="00E54CCC">
          <w:rPr>
            <w:rFonts w:asciiTheme="minorHAnsi" w:eastAsiaTheme="minorHAnsi" w:hAnsiTheme="minorHAnsi" w:cstheme="minorBidi"/>
            <w:b w:val="0"/>
            <w:bCs w:val="0"/>
            <w:color w:val="auto"/>
            <w:sz w:val="22"/>
            <w:szCs w:val="22"/>
          </w:rPr>
          <w:t>Gardner &amp; Gabriel, 2004</w:t>
        </w:r>
      </w:hyperlink>
      <w:r w:rsidR="00013C17" w:rsidRPr="00E54CCC">
        <w:rPr>
          <w:rFonts w:asciiTheme="minorHAnsi" w:eastAsiaTheme="minorHAnsi" w:hAnsiTheme="minorHAnsi" w:cstheme="minorBidi"/>
          <w:b w:val="0"/>
          <w:bCs w:val="0"/>
          <w:color w:val="auto"/>
          <w:sz w:val="22"/>
          <w:szCs w:val="22"/>
        </w:rPr>
        <w:t>)</w:t>
      </w:r>
      <w:r w:rsidR="008A4C10" w:rsidRPr="00E54CCC">
        <w:rPr>
          <w:rFonts w:asciiTheme="minorHAnsi" w:eastAsiaTheme="minorHAnsi" w:hAnsiTheme="minorHAnsi" w:cstheme="minorBidi"/>
          <w:b w:val="0"/>
          <w:bCs w:val="0"/>
          <w:color w:val="auto"/>
          <w:sz w:val="22"/>
          <w:szCs w:val="22"/>
        </w:rPr>
        <w:fldChar w:fldCharType="end"/>
      </w:r>
      <w:r w:rsidR="008A24E4">
        <w:rPr>
          <w:rFonts w:asciiTheme="minorHAnsi" w:eastAsiaTheme="minorHAnsi" w:hAnsiTheme="minorHAnsi" w:cstheme="minorBidi"/>
          <w:b w:val="0"/>
          <w:bCs w:val="0"/>
          <w:color w:val="auto"/>
          <w:sz w:val="22"/>
          <w:szCs w:val="22"/>
        </w:rPr>
        <w:t>,</w:t>
      </w:r>
      <w:r w:rsidR="008A4C10" w:rsidRPr="00E54CCC">
        <w:rPr>
          <w:rFonts w:asciiTheme="minorHAnsi" w:eastAsiaTheme="minorHAnsi" w:hAnsiTheme="minorHAnsi" w:cstheme="minorBidi"/>
          <w:b w:val="0"/>
          <w:bCs w:val="0"/>
          <w:color w:val="auto"/>
          <w:sz w:val="22"/>
          <w:szCs w:val="22"/>
        </w:rPr>
        <w:t xml:space="preserve"> as well as </w:t>
      </w:r>
      <w:r w:rsidR="00FA6D2F" w:rsidRPr="00E54CCC">
        <w:rPr>
          <w:rFonts w:asciiTheme="minorHAnsi" w:eastAsiaTheme="minorHAnsi" w:hAnsiTheme="minorHAnsi" w:cstheme="minorBidi"/>
          <w:b w:val="0"/>
          <w:bCs w:val="0"/>
          <w:color w:val="auto"/>
          <w:sz w:val="22"/>
          <w:szCs w:val="22"/>
        </w:rPr>
        <w:t>the masculine idea of chivalry</w:t>
      </w:r>
      <w:r w:rsidR="00D045D2" w:rsidRPr="00E54CCC">
        <w:rPr>
          <w:rFonts w:asciiTheme="minorHAnsi" w:eastAsiaTheme="minorHAnsi" w:hAnsiTheme="minorHAnsi" w:cstheme="minorBidi"/>
          <w:b w:val="0"/>
          <w:bCs w:val="0"/>
          <w:color w:val="auto"/>
          <w:sz w:val="22"/>
          <w:szCs w:val="22"/>
        </w:rPr>
        <w:t xml:space="preserve"> </w:t>
      </w:r>
      <w:r w:rsidR="00D045D2" w:rsidRPr="00E54CCC">
        <w:rPr>
          <w:rFonts w:asciiTheme="minorHAnsi" w:eastAsiaTheme="minorHAnsi" w:hAnsiTheme="minorHAnsi" w:cstheme="minorBidi"/>
          <w:b w:val="0"/>
          <w:bCs w:val="0"/>
          <w:color w:val="auto"/>
          <w:sz w:val="22"/>
          <w:szCs w:val="22"/>
        </w:rPr>
        <w:fldChar w:fldCharType="begin"/>
      </w:r>
      <w:r w:rsidR="00FF2004" w:rsidRPr="00E54CCC">
        <w:rPr>
          <w:rFonts w:asciiTheme="minorHAnsi" w:eastAsiaTheme="minorHAnsi" w:hAnsiTheme="minorHAnsi" w:cstheme="minorBidi"/>
          <w:b w:val="0"/>
          <w:bCs w:val="0"/>
          <w:color w:val="auto"/>
          <w:sz w:val="22"/>
          <w:szCs w:val="22"/>
        </w:rPr>
        <w:instrText xml:space="preserve"> ADDIN EN.CITE &lt;EndNote&gt;&lt;Cite&gt;&lt;Author&gt;Glick&lt;/Author&gt;&lt;Year&gt;2001&lt;/Year&gt;&lt;RecNum&gt;556&lt;/RecNum&gt;&lt;DisplayText&gt;(Glick &amp;amp; Fiske, 2001)&lt;/DisplayText&gt;&lt;record&gt;&lt;rec-number&gt;556&lt;/rec-number&gt;&lt;foreign-keys&gt;&lt;key app="EN" db-id="f5p9zd5zqsratqef5sv5pz2wpve092vrdw52"&gt;556&lt;/key&gt;&lt;/foreign-keys&gt;&lt;ref-type name="Journal Article"&gt;17&lt;/ref-type&gt;&lt;contributors&gt;&lt;authors&gt;&lt;author&gt;Glick, P.&lt;/author&gt;&lt;author&gt;Fiske, S. T.&lt;/author&gt;&lt;/authors&gt;&lt;/contributors&gt;&lt;titles&gt;&lt;title&gt;An ambivalent alliance: Hostile and benevolent sexism as complementary justifications for gender inequality&lt;/title&gt;&lt;secondary-title&gt;American Psychologist&lt;/secondary-title&gt;&lt;/titles&gt;&lt;periodical&gt;&lt;full-title&gt;American Psychologist&lt;/full-title&gt;&lt;/periodical&gt;&lt;pages&gt;109-118&lt;/pages&gt;&lt;volume&gt;56&lt;/volume&gt;&lt;dates&gt;&lt;year&gt;2001&lt;/year&gt;&lt;/dates&gt;&lt;urls&gt;&lt;/urls&gt;&lt;electronic-resource-num&gt;10.1037/0003-066x.56.2.109&lt;/electronic-resource-num&gt;&lt;/record&gt;&lt;/Cite&gt;&lt;/EndNote&gt;</w:instrText>
      </w:r>
      <w:r w:rsidR="00D045D2" w:rsidRPr="00E54CCC">
        <w:rPr>
          <w:rFonts w:asciiTheme="minorHAnsi" w:eastAsiaTheme="minorHAnsi" w:hAnsiTheme="minorHAnsi" w:cstheme="minorBidi"/>
          <w:b w:val="0"/>
          <w:bCs w:val="0"/>
          <w:color w:val="auto"/>
          <w:sz w:val="22"/>
          <w:szCs w:val="22"/>
        </w:rPr>
        <w:fldChar w:fldCharType="separate"/>
      </w:r>
      <w:r w:rsidR="00D045D2" w:rsidRPr="00E54CCC">
        <w:rPr>
          <w:rFonts w:asciiTheme="minorHAnsi" w:eastAsiaTheme="minorHAnsi" w:hAnsiTheme="minorHAnsi" w:cstheme="minorBidi"/>
          <w:b w:val="0"/>
          <w:bCs w:val="0"/>
          <w:color w:val="auto"/>
          <w:sz w:val="22"/>
          <w:szCs w:val="22"/>
        </w:rPr>
        <w:t>(</w:t>
      </w:r>
      <w:hyperlink w:anchor="_ENREF_17" w:tooltip="Glick, 2001 #556" w:history="1">
        <w:r w:rsidR="00930389" w:rsidRPr="00E54CCC">
          <w:rPr>
            <w:rFonts w:asciiTheme="minorHAnsi" w:eastAsiaTheme="minorHAnsi" w:hAnsiTheme="minorHAnsi" w:cstheme="minorBidi"/>
            <w:b w:val="0"/>
            <w:bCs w:val="0"/>
            <w:color w:val="auto"/>
            <w:sz w:val="22"/>
            <w:szCs w:val="22"/>
          </w:rPr>
          <w:t>Glick &amp; Fiske, 2001</w:t>
        </w:r>
      </w:hyperlink>
      <w:r w:rsidR="00D045D2" w:rsidRPr="00E54CCC">
        <w:rPr>
          <w:rFonts w:asciiTheme="minorHAnsi" w:eastAsiaTheme="minorHAnsi" w:hAnsiTheme="minorHAnsi" w:cstheme="minorBidi"/>
          <w:b w:val="0"/>
          <w:bCs w:val="0"/>
          <w:color w:val="auto"/>
          <w:sz w:val="22"/>
          <w:szCs w:val="22"/>
        </w:rPr>
        <w:t>)</w:t>
      </w:r>
      <w:r w:rsidR="00D045D2" w:rsidRPr="00E54CCC">
        <w:rPr>
          <w:rFonts w:asciiTheme="minorHAnsi" w:eastAsiaTheme="minorHAnsi" w:hAnsiTheme="minorHAnsi" w:cstheme="minorBidi"/>
          <w:b w:val="0"/>
          <w:bCs w:val="0"/>
          <w:color w:val="auto"/>
          <w:sz w:val="22"/>
          <w:szCs w:val="22"/>
        </w:rPr>
        <w:fldChar w:fldCharType="end"/>
      </w:r>
      <w:r w:rsidR="00B06E84" w:rsidRPr="00E54CCC">
        <w:rPr>
          <w:rFonts w:asciiTheme="minorHAnsi" w:eastAsiaTheme="minorHAnsi" w:hAnsiTheme="minorHAnsi" w:cstheme="minorBidi"/>
          <w:b w:val="0"/>
          <w:bCs w:val="0"/>
          <w:color w:val="auto"/>
          <w:sz w:val="22"/>
          <w:szCs w:val="22"/>
        </w:rPr>
        <w:t xml:space="preserve">.  </w:t>
      </w:r>
      <w:r w:rsidR="008A4C10" w:rsidRPr="00E54CCC">
        <w:rPr>
          <w:rFonts w:asciiTheme="minorHAnsi" w:eastAsiaTheme="minorHAnsi" w:hAnsiTheme="minorHAnsi" w:cstheme="minorBidi"/>
          <w:b w:val="0"/>
          <w:bCs w:val="0"/>
          <w:color w:val="auto"/>
          <w:sz w:val="22"/>
          <w:szCs w:val="22"/>
        </w:rPr>
        <w:t>In contrast, prosocial behaviours such as comforting someone when upset and providing community service are congruent with the relational emphasi</w:t>
      </w:r>
      <w:r w:rsidR="001F3105" w:rsidRPr="00E54CCC">
        <w:rPr>
          <w:rFonts w:asciiTheme="minorHAnsi" w:eastAsiaTheme="minorHAnsi" w:hAnsiTheme="minorHAnsi" w:cstheme="minorBidi"/>
          <w:b w:val="0"/>
          <w:bCs w:val="0"/>
          <w:color w:val="auto"/>
          <w:sz w:val="22"/>
          <w:szCs w:val="22"/>
        </w:rPr>
        <w:t xml:space="preserve">s within the female gender role </w:t>
      </w:r>
      <w:r w:rsidR="00013C17" w:rsidRPr="00E54CCC">
        <w:rPr>
          <w:rFonts w:asciiTheme="minorHAnsi" w:eastAsiaTheme="minorHAnsi" w:hAnsiTheme="minorHAnsi" w:cstheme="minorBidi"/>
          <w:b w:val="0"/>
          <w:bCs w:val="0"/>
          <w:color w:val="auto"/>
          <w:sz w:val="22"/>
          <w:szCs w:val="22"/>
        </w:rPr>
        <w:t>and the propensity to bond with others</w:t>
      </w:r>
      <w:r w:rsidR="001F3105" w:rsidRPr="00E54CCC">
        <w:rPr>
          <w:rFonts w:asciiTheme="minorHAnsi" w:eastAsiaTheme="minorHAnsi" w:hAnsiTheme="minorHAnsi" w:cstheme="minorBidi"/>
          <w:b w:val="0"/>
          <w:bCs w:val="0"/>
          <w:color w:val="auto"/>
          <w:sz w:val="22"/>
          <w:szCs w:val="22"/>
        </w:rPr>
        <w:t xml:space="preserve"> </w:t>
      </w:r>
      <w:r w:rsidR="001F3105" w:rsidRPr="00E54CCC">
        <w:rPr>
          <w:rFonts w:asciiTheme="minorHAnsi" w:eastAsiaTheme="minorHAnsi" w:hAnsiTheme="minorHAnsi" w:cstheme="minorBidi"/>
          <w:b w:val="0"/>
          <w:bCs w:val="0"/>
          <w:color w:val="auto"/>
          <w:sz w:val="22"/>
          <w:szCs w:val="22"/>
        </w:rPr>
        <w:fldChar w:fldCharType="begin"/>
      </w:r>
      <w:r w:rsidR="00F94F8C" w:rsidRPr="00E54CCC">
        <w:rPr>
          <w:rFonts w:asciiTheme="minorHAnsi" w:eastAsiaTheme="minorHAnsi" w:hAnsiTheme="minorHAnsi" w:cstheme="minorBidi"/>
          <w:b w:val="0"/>
          <w:bCs w:val="0"/>
          <w:color w:val="auto"/>
          <w:sz w:val="22"/>
          <w:szCs w:val="22"/>
        </w:rPr>
        <w:instrText xml:space="preserve"> ADDIN EN.CITE &lt;EndNote&gt;&lt;Cite&gt;&lt;Author&gt;Spence&lt;/Author&gt;&lt;Year&gt;2000&lt;/Year&gt;&lt;RecNum&gt;551&lt;/RecNum&gt;&lt;DisplayText&gt;(Spence &amp;amp; Buckner, 2000)&lt;/DisplayText&gt;&lt;record&gt;&lt;rec-number&gt;551&lt;/rec-number&gt;&lt;foreign-keys&gt;&lt;key app="EN" db-id="f5p9zd5zqsratqef5sv5pz2wpve092vrdw52"&gt;551&lt;/key&gt;&lt;/foreign-keys&gt;&lt;ref-type name="Journal Article"&gt;17&lt;/ref-type&gt;&lt;contributors&gt;&lt;authors&gt;&lt;author&gt;Spence, J. T.&lt;/author&gt;&lt;author&gt;Buckner, C. E.&lt;/author&gt;&lt;/authors&gt;&lt;/contributors&gt;&lt;titles&gt;&lt;title&gt;Instrumental and expressive traits, trait stereotypes, and sexist attitudes&lt;/title&gt;&lt;secondary-title&gt;Psychology of Women Quarterly&lt;/secondary-title&gt;&lt;/titles&gt;&lt;periodical&gt;&lt;full-title&gt;Psychology of Women Quarterly&lt;/full-title&gt;&lt;/periodical&gt;&lt;pages&gt;44-62&lt;/pages&gt;&lt;volume&gt;24&lt;/volume&gt;&lt;dates&gt;&lt;year&gt;2000&lt;/year&gt;&lt;/dates&gt;&lt;urls&gt;&lt;/urls&gt;&lt;electronic-resource-num&gt;10.1111/j.1471-6402.2000.tb01021.x&lt;/electronic-resource-num&gt;&lt;/record&gt;&lt;/Cite&gt;&lt;/EndNote&gt;</w:instrText>
      </w:r>
      <w:r w:rsidR="001F3105" w:rsidRPr="00E54CCC">
        <w:rPr>
          <w:rFonts w:asciiTheme="minorHAnsi" w:eastAsiaTheme="minorHAnsi" w:hAnsiTheme="minorHAnsi" w:cstheme="minorBidi"/>
          <w:b w:val="0"/>
          <w:bCs w:val="0"/>
          <w:color w:val="auto"/>
          <w:sz w:val="22"/>
          <w:szCs w:val="22"/>
        </w:rPr>
        <w:fldChar w:fldCharType="separate"/>
      </w:r>
      <w:r w:rsidR="001F3105" w:rsidRPr="00E54CCC">
        <w:rPr>
          <w:rFonts w:asciiTheme="minorHAnsi" w:eastAsiaTheme="minorHAnsi" w:hAnsiTheme="minorHAnsi" w:cstheme="minorBidi"/>
          <w:b w:val="0"/>
          <w:bCs w:val="0"/>
          <w:color w:val="auto"/>
          <w:sz w:val="22"/>
          <w:szCs w:val="22"/>
        </w:rPr>
        <w:t>(</w:t>
      </w:r>
      <w:hyperlink w:anchor="_ENREF_36" w:tooltip="Spence, 2000 #551" w:history="1">
        <w:r w:rsidR="00930389" w:rsidRPr="00E54CCC">
          <w:rPr>
            <w:rFonts w:asciiTheme="minorHAnsi" w:eastAsiaTheme="minorHAnsi" w:hAnsiTheme="minorHAnsi" w:cstheme="minorBidi"/>
            <w:b w:val="0"/>
            <w:bCs w:val="0"/>
            <w:color w:val="auto"/>
            <w:sz w:val="22"/>
            <w:szCs w:val="22"/>
          </w:rPr>
          <w:t>Spence &amp; Buckner, 2000</w:t>
        </w:r>
      </w:hyperlink>
      <w:r w:rsidR="001F3105" w:rsidRPr="00E54CCC">
        <w:rPr>
          <w:rFonts w:asciiTheme="minorHAnsi" w:eastAsiaTheme="minorHAnsi" w:hAnsiTheme="minorHAnsi" w:cstheme="minorBidi"/>
          <w:b w:val="0"/>
          <w:bCs w:val="0"/>
          <w:color w:val="auto"/>
          <w:sz w:val="22"/>
          <w:szCs w:val="22"/>
        </w:rPr>
        <w:t>)</w:t>
      </w:r>
      <w:r w:rsidR="001F3105" w:rsidRPr="00E54CCC">
        <w:rPr>
          <w:rFonts w:asciiTheme="minorHAnsi" w:eastAsiaTheme="minorHAnsi" w:hAnsiTheme="minorHAnsi" w:cstheme="minorBidi"/>
          <w:b w:val="0"/>
          <w:bCs w:val="0"/>
          <w:color w:val="auto"/>
          <w:sz w:val="22"/>
          <w:szCs w:val="22"/>
        </w:rPr>
        <w:fldChar w:fldCharType="end"/>
      </w:r>
      <w:r w:rsidR="00B06E84" w:rsidRPr="00E54CCC">
        <w:rPr>
          <w:rFonts w:asciiTheme="minorHAnsi" w:eastAsiaTheme="minorHAnsi" w:hAnsiTheme="minorHAnsi" w:cstheme="minorBidi"/>
          <w:b w:val="0"/>
          <w:bCs w:val="0"/>
          <w:color w:val="auto"/>
          <w:sz w:val="22"/>
          <w:szCs w:val="22"/>
        </w:rPr>
        <w:t xml:space="preserve">. </w:t>
      </w:r>
      <w:r>
        <w:rPr>
          <w:rFonts w:asciiTheme="minorHAnsi" w:eastAsiaTheme="minorHAnsi" w:hAnsiTheme="minorHAnsi" w:cstheme="minorBidi"/>
          <w:b w:val="0"/>
          <w:bCs w:val="0"/>
          <w:color w:val="auto"/>
          <w:sz w:val="22"/>
          <w:szCs w:val="22"/>
        </w:rPr>
        <w:t xml:space="preserve"> Eagly </w:t>
      </w:r>
      <w:r w:rsidR="008A4C10" w:rsidRPr="00E54CCC">
        <w:rPr>
          <w:rFonts w:asciiTheme="minorHAnsi" w:eastAsiaTheme="minorHAnsi" w:hAnsiTheme="minorHAnsi" w:cstheme="minorBidi"/>
          <w:b w:val="0"/>
          <w:bCs w:val="0"/>
          <w:color w:val="auto"/>
          <w:sz w:val="22"/>
          <w:szCs w:val="22"/>
        </w:rPr>
        <w:t>therefore posits that ‘neither sex deserves recognition for delivering the majority of prosocial behaviour</w:t>
      </w:r>
      <w:r w:rsidR="00B06E84" w:rsidRPr="00E54CCC">
        <w:rPr>
          <w:rFonts w:asciiTheme="minorHAnsi" w:eastAsiaTheme="minorHAnsi" w:hAnsiTheme="minorHAnsi" w:cstheme="minorBidi"/>
          <w:b w:val="0"/>
          <w:bCs w:val="0"/>
          <w:color w:val="auto"/>
          <w:sz w:val="22"/>
          <w:szCs w:val="22"/>
        </w:rPr>
        <w:t xml:space="preserve">.  </w:t>
      </w:r>
      <w:r w:rsidR="008A4C10" w:rsidRPr="00E54CCC">
        <w:rPr>
          <w:rFonts w:asciiTheme="minorHAnsi" w:eastAsiaTheme="minorHAnsi" w:hAnsiTheme="minorHAnsi" w:cstheme="minorBidi"/>
          <w:b w:val="0"/>
          <w:bCs w:val="0"/>
          <w:color w:val="auto"/>
          <w:sz w:val="22"/>
          <w:szCs w:val="22"/>
        </w:rPr>
        <w:t xml:space="preserve">Although both women and men deliver extensive help to others, they specialise to some extent in different types of behaviour’ (2009, p.649). </w:t>
      </w:r>
    </w:p>
    <w:p w:rsidR="007A2A0C" w:rsidRDefault="007A2A0C" w:rsidP="00612B8A">
      <w:pPr>
        <w:spacing w:after="120"/>
        <w:ind w:firstLine="720"/>
        <w:contextualSpacing/>
      </w:pPr>
      <w:r>
        <w:t>There</w:t>
      </w:r>
      <w:r w:rsidR="002C5FEC">
        <w:t xml:space="preserve"> </w:t>
      </w:r>
      <w:r>
        <w:t xml:space="preserve">appears </w:t>
      </w:r>
      <w:r w:rsidR="004E09BE">
        <w:t xml:space="preserve">therefore </w:t>
      </w:r>
      <w:r>
        <w:t>to be</w:t>
      </w:r>
      <w:r w:rsidR="000544ED">
        <w:t xml:space="preserve"> </w:t>
      </w:r>
      <w:r w:rsidR="00AB31A6">
        <w:t>a fundamental difference</w:t>
      </w:r>
      <w:r w:rsidR="00F81B91">
        <w:t xml:space="preserve"> </w:t>
      </w:r>
      <w:r w:rsidR="000544ED">
        <w:t xml:space="preserve">between the female-typed notion of prosocial behaviour in childhood and adolescence, and the gender differentiated </w:t>
      </w:r>
      <w:r>
        <w:t xml:space="preserve">prosocial </w:t>
      </w:r>
      <w:r w:rsidR="000544ED">
        <w:t>behaviour of adulthood</w:t>
      </w:r>
      <w:r w:rsidR="00B06E84">
        <w:t xml:space="preserve">.  </w:t>
      </w:r>
      <w:r w:rsidR="002C5FEC">
        <w:t>It may be that gender differences in the type of prosocial behav</w:t>
      </w:r>
      <w:r w:rsidR="00EE53E0">
        <w:t xml:space="preserve">iours utilised by men and women, and the associated differential gender-typing of behaviour, </w:t>
      </w:r>
      <w:r w:rsidR="002C5FEC">
        <w:t xml:space="preserve">only manifest in adulthood. </w:t>
      </w:r>
      <w:r w:rsidR="00B06E84">
        <w:t xml:space="preserve"> </w:t>
      </w:r>
      <w:r w:rsidR="002C5FEC">
        <w:t>However, considering that</w:t>
      </w:r>
      <w:r w:rsidR="00720ACA">
        <w:t xml:space="preserve"> gender knowledge</w:t>
      </w:r>
      <w:r w:rsidR="002C5FEC">
        <w:t xml:space="preserve"> is amassed very quickly and at a young age </w:t>
      </w:r>
      <w:r w:rsidR="002C5FEC">
        <w:fldChar w:fldCharType="begin"/>
      </w:r>
      <w:r w:rsidR="00F94F8C">
        <w:instrText xml:space="preserve"> ADDIN EN.CITE &lt;EndNote&gt;&lt;Cite&gt;&lt;Author&gt;Ruble&lt;/Author&gt;&lt;Year&gt;2006&lt;/Year&gt;&lt;RecNum&gt;225&lt;/RecNum&gt;&lt;DisplayText&gt;(Ruble, Martin, &amp;amp; Berenbaum, 2006)&lt;/DisplayText&gt;&lt;record&gt;&lt;rec-number&gt;225&lt;/rec-number&gt;&lt;foreign-keys&gt;&lt;key app="EN" db-id="f5p9zd5zqsratqef5sv5pz2wpve092vrdw52"&gt;225&lt;/key&gt;&lt;/foreign-keys&gt;&lt;ref-type name="Book Section"&gt;5&lt;/ref-type&gt;&lt;contributors&gt;&lt;authors&gt;&lt;author&gt;Ruble, D. N.&lt;/author&gt;&lt;author&gt;Martin, C. L.&lt;/author&gt;&lt;author&gt;Berenbaum, S.&lt;/author&gt;&lt;/authors&gt;&lt;secondary-authors&gt;&lt;author&gt;N. Eisenberg&lt;/author&gt;&lt;/secondary-authors&gt;&lt;tertiary-authors&gt;&lt;author&gt;W. Damon&lt;/author&gt;&lt;author&gt;R. M. Lerner&lt;/author&gt;&lt;/tertiary-authors&gt;&lt;/contributors&gt;&lt;titles&gt;&lt;title&gt;Gender Development&lt;/title&gt;&lt;secondary-title&gt;Handbook of child psychology: Vol. 3. Social, emotional, and personality development&lt;/secondary-title&gt;&lt;/titles&gt;&lt;pages&gt;858-932&lt;/pages&gt;&lt;edition&gt;6th&lt;/edition&gt;&lt;dates&gt;&lt;year&gt;2006&lt;/year&gt;&lt;/dates&gt;&lt;pub-location&gt;New York&lt;/pub-location&gt;&lt;publisher&gt;Wiley&lt;/publisher&gt;&lt;urls&gt;&lt;/urls&gt;&lt;electronic-resource-num&gt;10.1002/9780470147658.chpsy0314&lt;/electronic-resource-num&gt;&lt;/record&gt;&lt;/Cite&gt;&lt;/EndNote&gt;</w:instrText>
      </w:r>
      <w:r w:rsidR="002C5FEC">
        <w:fldChar w:fldCharType="separate"/>
      </w:r>
      <w:r w:rsidR="002C5FEC">
        <w:rPr>
          <w:noProof/>
        </w:rPr>
        <w:t>(</w:t>
      </w:r>
      <w:hyperlink w:anchor="_ENREF_32" w:tooltip="Ruble, 2006 #225" w:history="1">
        <w:r w:rsidR="00930389">
          <w:rPr>
            <w:noProof/>
          </w:rPr>
          <w:t>Ruble, Martin, &amp; Berenbaum, 2006</w:t>
        </w:r>
      </w:hyperlink>
      <w:r w:rsidR="002C5FEC">
        <w:rPr>
          <w:noProof/>
        </w:rPr>
        <w:t>)</w:t>
      </w:r>
      <w:r w:rsidR="002C5FEC">
        <w:fldChar w:fldCharType="end"/>
      </w:r>
      <w:r w:rsidR="002C5FEC">
        <w:t>, this is unlikely</w:t>
      </w:r>
      <w:r w:rsidR="00B06E84">
        <w:t xml:space="preserve">.  </w:t>
      </w:r>
      <w:r w:rsidR="00F81B91">
        <w:t>I</w:t>
      </w:r>
      <w:r w:rsidR="00720ACA">
        <w:t xml:space="preserve">f stereotypes </w:t>
      </w:r>
      <w:r w:rsidR="00EE53E0">
        <w:t>regarding</w:t>
      </w:r>
      <w:r w:rsidR="00720ACA">
        <w:t xml:space="preserve"> male vs. female prosociality exist, it can be assumed that children and adolescents should be aware of them</w:t>
      </w:r>
      <w:r w:rsidR="002C3BF5">
        <w:t xml:space="preserve"> </w:t>
      </w:r>
      <w:r w:rsidR="00EE53E0">
        <w:t>from an early developmental stage</w:t>
      </w:r>
      <w:r w:rsidR="00F81B91">
        <w:t xml:space="preserve"> </w:t>
      </w:r>
      <w:r w:rsidR="002C3BF5">
        <w:t xml:space="preserve">and </w:t>
      </w:r>
      <w:r w:rsidR="00F81B91">
        <w:t>gender-typ</w:t>
      </w:r>
      <w:r w:rsidR="006F3A23">
        <w:t>e</w:t>
      </w:r>
      <w:r w:rsidR="00F81B91">
        <w:t xml:space="preserve"> </w:t>
      </w:r>
      <w:r w:rsidR="00EE53E0">
        <w:t xml:space="preserve">prosocial </w:t>
      </w:r>
      <w:r w:rsidR="00F81B91">
        <w:t xml:space="preserve">behaviour </w:t>
      </w:r>
      <w:r w:rsidR="006F3A23">
        <w:t>accordingly</w:t>
      </w:r>
      <w:r w:rsidR="00B06E84">
        <w:t xml:space="preserve">.  </w:t>
      </w:r>
      <w:r w:rsidR="00D2526D">
        <w:t>Differences</w:t>
      </w:r>
      <w:r w:rsidR="00F81B91">
        <w:t xml:space="preserve"> in </w:t>
      </w:r>
      <w:r w:rsidR="00EE53E0">
        <w:t xml:space="preserve">the </w:t>
      </w:r>
      <w:r w:rsidR="00F81B91">
        <w:t>gender-typing of prosocial behaviours between children/adolescents and adults may instead result from the paucity of behaviours used in traditional prosocial behaviour studies</w:t>
      </w:r>
      <w:r w:rsidR="000544ED">
        <w:t xml:space="preserve"> </w:t>
      </w:r>
      <w:r w:rsidR="00D2526D">
        <w:t xml:space="preserve">at younger ages </w:t>
      </w:r>
      <w:r w:rsidR="000544ED">
        <w:t>(most commonly</w:t>
      </w:r>
      <w:r w:rsidR="00B366BB">
        <w:t>;</w:t>
      </w:r>
      <w:r w:rsidR="000544ED">
        <w:t xml:space="preserve"> helping, sharing, comforting, and giving</w:t>
      </w:r>
      <w:r w:rsidR="00F81B91">
        <w:t xml:space="preserve">, see </w:t>
      </w:r>
      <w:r w:rsidR="00F81B91">
        <w:fldChar w:fldCharType="begin"/>
      </w:r>
      <w:r w:rsidR="00F81B91">
        <w:instrText xml:space="preserve"> ADDIN EN.CITE &lt;EndNote&gt;&lt;Cite ExcludeAuth="1" ExcludeYear="1"&gt;&lt;Author&gt;Fabes&lt;/Author&gt;&lt;Year&gt;1996&lt;/Year&gt;&lt;RecNum&gt;122&lt;/RecNum&gt;&lt;record&gt;&lt;rec-number&gt;122&lt;/rec-number&gt;&lt;foreign-keys&gt;&lt;key app="EN" db-id="f5p9zd5zqsratqef5sv5pz2wpve092vrdw52"&gt;122&lt;/key&gt;&lt;/foreign-keys&gt;&lt;ref-type name="Unpublished Work"&gt;34&lt;/ref-type&gt;&lt;contributors&gt;&lt;authors&gt;&lt;author&gt;Fabes, R. A.&lt;/author&gt;&lt;author&gt;Eisenberg, N.&lt;/author&gt;&lt;/authors&gt;&lt;/contributors&gt;&lt;titles&gt;&lt;title&gt;Meta-Analyses of Age and Sex Differences in Children&amp;apos;s and Adolescents&amp;apos; Prosocial Behavior. Unpublished Manuscript.&lt;/title&gt;&lt;/titles&gt;&lt;dates&gt;&lt;year&gt;1996&lt;/year&gt;&lt;/dates&gt;&lt;urls&gt;&lt;/urls&gt;&lt;/record&gt;&lt;/Cite&gt;&lt;/EndNote&gt;</w:instrText>
      </w:r>
      <w:r w:rsidR="00F81B91">
        <w:fldChar w:fldCharType="end"/>
      </w:r>
      <w:proofErr w:type="spellStart"/>
      <w:r w:rsidR="00F81B91">
        <w:t>Fabes</w:t>
      </w:r>
      <w:proofErr w:type="spellEnd"/>
      <w:r w:rsidR="00F81B91">
        <w:t xml:space="preserve"> &amp; Eisenberg, 1996</w:t>
      </w:r>
      <w:r w:rsidR="000544ED">
        <w:t>)</w:t>
      </w:r>
      <w:r w:rsidR="00B06E84">
        <w:t xml:space="preserve">.  </w:t>
      </w:r>
      <w:r w:rsidR="000544ED">
        <w:t>T</w:t>
      </w:r>
      <w:r w:rsidR="000544ED" w:rsidRPr="00424D1D">
        <w:t>hese</w:t>
      </w:r>
      <w:r w:rsidR="000544ED">
        <w:t xml:space="preserve"> ‘broad’</w:t>
      </w:r>
      <w:r w:rsidR="000544ED" w:rsidRPr="00424D1D">
        <w:t xml:space="preserve"> behaviours do not represent the wide variety of pro</w:t>
      </w:r>
      <w:r w:rsidR="000544ED">
        <w:t xml:space="preserve">social acts that children and </w:t>
      </w:r>
      <w:r w:rsidR="000544ED" w:rsidRPr="00424D1D">
        <w:t>adolescents undertake</w:t>
      </w:r>
      <w:r>
        <w:t>,</w:t>
      </w:r>
      <w:r w:rsidR="000544ED">
        <w:t xml:space="preserve"> and may garner feminine ratings as </w:t>
      </w:r>
      <w:r w:rsidR="00720ACA">
        <w:t xml:space="preserve">they are </w:t>
      </w:r>
      <w:r w:rsidR="002C3BF5">
        <w:t xml:space="preserve">cognitively </w:t>
      </w:r>
      <w:r w:rsidR="00720ACA">
        <w:t xml:space="preserve">incorporated into </w:t>
      </w:r>
      <w:r w:rsidR="000544ED">
        <w:t>the broader gender stereotype of feminine prosociality</w:t>
      </w:r>
      <w:r w:rsidR="00B06E84">
        <w:t>.</w:t>
      </w:r>
      <w:r w:rsidR="00E34F3D">
        <w:t xml:space="preserve"> </w:t>
      </w:r>
      <w:r w:rsidR="00B06E84">
        <w:t xml:space="preserve"> </w:t>
      </w:r>
      <w:r w:rsidR="00153CC1">
        <w:t>Offering a great</w:t>
      </w:r>
      <w:bookmarkStart w:id="8" w:name="_GoBack"/>
      <w:bookmarkEnd w:id="8"/>
      <w:r w:rsidR="00153CC1">
        <w:t xml:space="preserve">er </w:t>
      </w:r>
      <w:r w:rsidR="00B24582">
        <w:t>variety of prosocial behaviours</w:t>
      </w:r>
      <w:r w:rsidR="00B24582" w:rsidRPr="00B24582">
        <w:t xml:space="preserve"> </w:t>
      </w:r>
      <w:r w:rsidR="00B24582">
        <w:t xml:space="preserve">within research, as </w:t>
      </w:r>
      <w:r w:rsidR="00B24582">
        <w:lastRenderedPageBreak/>
        <w:t>well as allowing the inclusion of prosocial ‘traits’</w:t>
      </w:r>
      <w:r w:rsidR="00832DB8">
        <w:t xml:space="preserve"> (</w:t>
      </w:r>
      <w:r w:rsidR="006F3A23">
        <w:t>i.e.,</w:t>
      </w:r>
      <w:r w:rsidR="00832DB8">
        <w:t xml:space="preserve"> a personal quality or characteristic that</w:t>
      </w:r>
      <w:r w:rsidR="00832DB8" w:rsidRPr="00832DB8">
        <w:t xml:space="preserve"> </w:t>
      </w:r>
      <w:r w:rsidR="00832DB8">
        <w:t>promotes harmonious relations with others)</w:t>
      </w:r>
      <w:r w:rsidR="00B24582">
        <w:t xml:space="preserve">, </w:t>
      </w:r>
      <w:r w:rsidR="00153CC1">
        <w:t xml:space="preserve">may reveal patterns of gender-typing </w:t>
      </w:r>
      <w:r w:rsidR="002C3BF5">
        <w:t xml:space="preserve">before age 18, </w:t>
      </w:r>
      <w:r w:rsidR="00153CC1">
        <w:t xml:space="preserve">similar to those seen in </w:t>
      </w:r>
      <w:r w:rsidR="002C3BF5">
        <w:t>adulthood</w:t>
      </w:r>
      <w:r w:rsidR="00EE53E0">
        <w:t>,</w:t>
      </w:r>
      <w:r w:rsidR="002C3BF5">
        <w:t xml:space="preserve"> that recognise the existence of </w:t>
      </w:r>
      <w:r w:rsidR="00324068">
        <w:t>male-typed prosociality</w:t>
      </w:r>
      <w:r w:rsidR="00153CC1">
        <w:t>.</w:t>
      </w:r>
      <w:r w:rsidR="00C87C14">
        <w:t xml:space="preserve"> </w:t>
      </w:r>
      <w:r w:rsidR="00B06E84">
        <w:t xml:space="preserve"> </w:t>
      </w:r>
      <w:r w:rsidR="00D2526D">
        <w:t>Whether differences in gender-typing exist before adulthood</w:t>
      </w:r>
      <w:r w:rsidR="00D2526D" w:rsidRPr="002C3BF5">
        <w:t xml:space="preserve"> is an important question,</w:t>
      </w:r>
      <w:r w:rsidR="00D2526D">
        <w:t xml:space="preserve"> as currently the consistent female-typing of prosocial behaviour does</w:t>
      </w:r>
      <w:r w:rsidR="008A24E4">
        <w:t xml:space="preserve"> not </w:t>
      </w:r>
      <w:r w:rsidR="00D2526D">
        <w:t>allow space for masculine prosociality, or the ‘male prosocial niche’, in childhood and adolescence</w:t>
      </w:r>
      <w:r w:rsidR="00B06E84">
        <w:t xml:space="preserve">.  </w:t>
      </w:r>
      <w:r w:rsidR="00D2526D">
        <w:t xml:space="preserve">Boys may </w:t>
      </w:r>
      <w:r w:rsidR="006F3A23">
        <w:t xml:space="preserve">therefore </w:t>
      </w:r>
      <w:r w:rsidR="00D2526D">
        <w:t xml:space="preserve">feel restricted in their </w:t>
      </w:r>
      <w:r w:rsidR="00EE53E0">
        <w:t xml:space="preserve">expression of </w:t>
      </w:r>
      <w:r w:rsidR="006F3A23">
        <w:t>good behaviour because of the conflict they experience between the desire to perform positive moral actions and to avoid being perceived as feminine</w:t>
      </w:r>
      <w:r w:rsidR="00B06E84">
        <w:t>.</w:t>
      </w:r>
    </w:p>
    <w:p w:rsidR="00423284" w:rsidRPr="00826793" w:rsidRDefault="00424D1D" w:rsidP="00273076">
      <w:pPr>
        <w:spacing w:after="120"/>
        <w:ind w:firstLine="720"/>
        <w:contextualSpacing/>
      </w:pPr>
      <w:r>
        <w:t xml:space="preserve">This study </w:t>
      </w:r>
      <w:r w:rsidR="001D4E61">
        <w:t>investigated children and adolescents</w:t>
      </w:r>
      <w:r w:rsidR="00C24EB9">
        <w:t>’</w:t>
      </w:r>
      <w:r w:rsidR="001D4E61">
        <w:t xml:space="preserve"> gender-typed </w:t>
      </w:r>
      <w:r w:rsidR="00E043E8">
        <w:t xml:space="preserve">judgements of </w:t>
      </w:r>
      <w:r w:rsidR="001D4E61">
        <w:t>prosocial behaviours</w:t>
      </w:r>
      <w:r w:rsidR="00B24582">
        <w:t xml:space="preserve"> and traits</w:t>
      </w:r>
      <w:r w:rsidR="00324068">
        <w:t xml:space="preserve">.  </w:t>
      </w:r>
      <w:r w:rsidR="00D045D2">
        <w:t xml:space="preserve">Importantly, and in contrast to the small amount of broad prosocial descriptors used in previous research into prosocial behaviour, </w:t>
      </w:r>
      <w:r w:rsidR="00F26019">
        <w:t>24</w:t>
      </w:r>
      <w:r w:rsidR="00D045D2">
        <w:t xml:space="preserve"> separate</w:t>
      </w:r>
      <w:r w:rsidR="00F26019">
        <w:t xml:space="preserve"> items</w:t>
      </w:r>
      <w:r w:rsidR="00D045D2">
        <w:t xml:space="preserve"> were utili</w:t>
      </w:r>
      <w:r w:rsidR="00B366BB">
        <w:t>s</w:t>
      </w:r>
      <w:r w:rsidR="00D045D2">
        <w:t xml:space="preserve">ed. These items were </w:t>
      </w:r>
      <w:r w:rsidR="001D4E61">
        <w:t xml:space="preserve">identified by early adolescents in </w:t>
      </w:r>
      <w:r w:rsidR="00D045D2">
        <w:t>a previous focus group study by</w:t>
      </w:r>
      <w:r w:rsidR="001D4E61">
        <w:t xml:space="preserve"> Bergin</w:t>
      </w:r>
      <w:r w:rsidR="00D045D2">
        <w:t xml:space="preserve"> and colleagues (</w:t>
      </w:r>
      <w:r w:rsidR="00147C14">
        <w:fldChar w:fldCharType="begin"/>
      </w:r>
      <w:r w:rsidR="00FF2004">
        <w:instrText xml:space="preserve"> ADDIN EN.CITE &lt;EndNote&gt;&lt;Cite ExcludeAuth="1" ExcludeYear="1"&gt;&lt;Author&gt;Bergin&lt;/Author&gt;&lt;Year&gt;2003&lt;/Year&gt;&lt;RecNum&gt;224&lt;/RecNum&gt;&lt;record&gt;&lt;rec-number&gt;224&lt;/rec-number&gt;&lt;foreign-keys&gt;&lt;key app="EN" db-id="f5p9zd5zqsratqef5sv5pz2wpve092vrdw52"&gt;224&lt;/key&gt;&lt;/foreign-keys&gt;&lt;ref-type name="Journal Article"&gt;17&lt;/ref-type&gt;&lt;contributors&gt;&lt;authors&gt;&lt;author&gt;Bergin, C.&lt;/author&gt;&lt;author&gt;Talley, S.&lt;/author&gt;&lt;author&gt;Hamer, L.&lt;/author&gt;&lt;/authors&gt;&lt;/contributors&gt;&lt;titles&gt;&lt;title&gt;Prosocial behaviours of young adolescents: a focus group study&lt;/title&gt;&lt;secondary-title&gt;Journal of Adolescence&lt;/secondary-title&gt;&lt;/titles&gt;&lt;periodical&gt;&lt;full-title&gt;Journal of Adolescence&lt;/full-title&gt;&lt;/periodical&gt;&lt;pages&gt;13-32&lt;/pages&gt;&lt;volume&gt;26&lt;/volume&gt;&lt;dates&gt;&lt;year&gt;2003&lt;/year&gt;&lt;/dates&gt;&lt;urls&gt;&lt;/urls&gt;&lt;electronic-resource-num&gt;10.1016/50140-1971(02)00112-4&lt;/electronic-resource-num&gt;&lt;/record&gt;&lt;/Cite&gt;&lt;/EndNote&gt;</w:instrText>
      </w:r>
      <w:r w:rsidR="00147C14">
        <w:fldChar w:fldCharType="end"/>
      </w:r>
      <w:r w:rsidR="001D4E61">
        <w:t>2003)</w:t>
      </w:r>
      <w:r w:rsidR="00D414F0">
        <w:t xml:space="preserve"> which, whilst analysing the frequency that boys and girls mentioned each behaviour, did not investigate gender-typing specifically.  </w:t>
      </w:r>
      <w:r w:rsidR="00A31158">
        <w:t xml:space="preserve">It was hypothesised that, instead of </w:t>
      </w:r>
      <w:r w:rsidR="00D2526D">
        <w:t>items</w:t>
      </w:r>
      <w:r w:rsidR="00A31158">
        <w:t xml:space="preserve"> receiving unanimously feminine ratings, </w:t>
      </w:r>
      <w:r w:rsidR="00D63985">
        <w:t xml:space="preserve">specific </w:t>
      </w:r>
      <w:r w:rsidR="00A31158">
        <w:t xml:space="preserve">behaviours </w:t>
      </w:r>
      <w:r w:rsidR="00D2526D">
        <w:t xml:space="preserve">and traits </w:t>
      </w:r>
      <w:r w:rsidR="00A31158">
        <w:t xml:space="preserve">synonymous with the male gender role (e.g., those involving broadly agentic qualities) would receive </w:t>
      </w:r>
      <w:r w:rsidR="003F2843">
        <w:t xml:space="preserve">masculine ratings. </w:t>
      </w:r>
      <w:r w:rsidR="00EE43C7">
        <w:t xml:space="preserve"> </w:t>
      </w:r>
      <w:bookmarkEnd w:id="5"/>
      <w:r w:rsidR="00EB5692">
        <w:t>In addition, whilst some small variations may occur due to changes in gender stereotype flexibility across development, i</w:t>
      </w:r>
      <w:r w:rsidR="00E73CCF">
        <w:t>t</w:t>
      </w:r>
      <w:r w:rsidR="008A24E4">
        <w:t xml:space="preserve"> was </w:t>
      </w:r>
      <w:r w:rsidR="00E73CCF">
        <w:t xml:space="preserve">further </w:t>
      </w:r>
      <w:r w:rsidR="008A24E4">
        <w:t>hypothesi</w:t>
      </w:r>
      <w:r w:rsidR="00B366BB">
        <w:t>s</w:t>
      </w:r>
      <w:r w:rsidR="008A24E4">
        <w:t xml:space="preserve">ed that </w:t>
      </w:r>
      <w:r w:rsidR="00273076">
        <w:t>differential gender-typing of behaviours would occur across all ages and in both genders</w:t>
      </w:r>
      <w:r w:rsidR="00E73CCF">
        <w:t>.  This is</w:t>
      </w:r>
      <w:r w:rsidR="00273076">
        <w:t xml:space="preserve"> due to the rapid acquirement of gender knowledge by both boys and girls from a young age</w:t>
      </w:r>
      <w:r w:rsidR="003A0253">
        <w:t xml:space="preserve"> </w:t>
      </w:r>
      <w:r w:rsidR="003A0253">
        <w:fldChar w:fldCharType="begin"/>
      </w:r>
      <w:r w:rsidR="003A0253">
        <w:instrText xml:space="preserve"> ADDIN EN.CITE &lt;EndNote&gt;&lt;Cite&gt;&lt;Author&gt;Ruble&lt;/Author&gt;&lt;Year&gt;2006&lt;/Year&gt;&lt;RecNum&gt;225&lt;/RecNum&gt;&lt;DisplayText&gt;(Ruble, et al., 2006)&lt;/DisplayText&gt;&lt;record&gt;&lt;rec-number&gt;225&lt;/rec-number&gt;&lt;foreign-keys&gt;&lt;key app="EN" db-id="f5p9zd5zqsratqef5sv5pz2wpve092vrdw52"&gt;225&lt;/key&gt;&lt;/foreign-keys&gt;&lt;ref-type name="Book Section"&gt;5&lt;/ref-type&gt;&lt;contributors&gt;&lt;authors&gt;&lt;author&gt;Ruble, D. N.&lt;/author&gt;&lt;author&gt;Martin, C. L.&lt;/author&gt;&lt;author&gt;Berenbaum, S.&lt;/author&gt;&lt;/authors&gt;&lt;secondary-authors&gt;&lt;author&gt;N. Eisenberg&lt;/author&gt;&lt;/secondary-authors&gt;&lt;tertiary-authors&gt;&lt;author&gt;W. Damon&lt;/author&gt;&lt;author&gt;R. M. Lerner&lt;/author&gt;&lt;/tertiary-authors&gt;&lt;/contributors&gt;&lt;titles&gt;&lt;title&gt;Gender Development&lt;/title&gt;&lt;secondary-title&gt;Handbook of child psychology: Vol. 3. Social, emotional, and personality development&lt;/secondary-title&gt;&lt;/titles&gt;&lt;pages&gt;858-932&lt;/pages&gt;&lt;edition&gt;6th&lt;/edition&gt;&lt;dates&gt;&lt;year&gt;2006&lt;/year&gt;&lt;/dates&gt;&lt;pub-location&gt;New York&lt;/pub-location&gt;&lt;publisher&gt;Wiley&lt;/publisher&gt;&lt;urls&gt;&lt;/urls&gt;&lt;electronic-resource-num&gt;10.1002/9780470147658.chpsy0314&lt;/electronic-resource-num&gt;&lt;/record&gt;&lt;/Cite&gt;&lt;/EndNote&gt;</w:instrText>
      </w:r>
      <w:r w:rsidR="003A0253">
        <w:fldChar w:fldCharType="separate"/>
      </w:r>
      <w:r w:rsidR="003A0253">
        <w:rPr>
          <w:noProof/>
        </w:rPr>
        <w:t>(</w:t>
      </w:r>
      <w:hyperlink w:anchor="_ENREF_32" w:tooltip="Ruble, 2006 #225" w:history="1">
        <w:r w:rsidR="00930389">
          <w:rPr>
            <w:noProof/>
          </w:rPr>
          <w:t>Ruble, et al., 2006</w:t>
        </w:r>
      </w:hyperlink>
      <w:r w:rsidR="003A0253">
        <w:rPr>
          <w:noProof/>
        </w:rPr>
        <w:t>)</w:t>
      </w:r>
      <w:r w:rsidR="003A0253">
        <w:fldChar w:fldCharType="end"/>
      </w:r>
      <w:r w:rsidR="00EB5692">
        <w:t>.</w:t>
      </w:r>
    </w:p>
    <w:p w:rsidR="00423284" w:rsidRDefault="00423284" w:rsidP="00DD151B">
      <w:pPr>
        <w:pStyle w:val="Heading2"/>
        <w:keepLines w:val="0"/>
        <w:spacing w:before="120" w:after="120"/>
        <w:contextualSpacing/>
        <w:jc w:val="center"/>
      </w:pPr>
      <w:bookmarkStart w:id="9" w:name="_Toc348000451"/>
      <w:r w:rsidRPr="001F64AF">
        <w:t>Participants</w:t>
      </w:r>
      <w:bookmarkStart w:id="10" w:name="_Toc348000452"/>
      <w:bookmarkEnd w:id="9"/>
    </w:p>
    <w:p w:rsidR="00F36732" w:rsidRPr="00B74209" w:rsidRDefault="00B53914" w:rsidP="00612B8A">
      <w:pPr>
        <w:spacing w:after="120"/>
        <w:ind w:firstLine="720"/>
        <w:contextualSpacing/>
      </w:pPr>
      <w:r>
        <w:t>Participants were 1189</w:t>
      </w:r>
      <w:r w:rsidR="001709CA" w:rsidRPr="00B74209">
        <w:t xml:space="preserve"> children and adolescents aged between 9- and 19-years-old (M = 14.35, SD = 2.08)</w:t>
      </w:r>
      <w:r w:rsidR="00B06E84">
        <w:t xml:space="preserve">.  </w:t>
      </w:r>
      <w:r w:rsidR="00147C14">
        <w:t xml:space="preserve">For the purposes </w:t>
      </w:r>
      <w:r w:rsidR="00E94B42">
        <w:t>of</w:t>
      </w:r>
      <w:r w:rsidR="00147C14">
        <w:t xml:space="preserve"> the analysis, participants were split </w:t>
      </w:r>
      <w:r>
        <w:t>by gender: Boys (n = 564</w:t>
      </w:r>
      <w:r w:rsidR="00E94B42">
        <w:t xml:space="preserve">, M = 14.11, SD = 1.87) and Girls (n = 625, M = 14.58, SD = 2.23). </w:t>
      </w:r>
      <w:r w:rsidR="00324068">
        <w:t xml:space="preserve"> </w:t>
      </w:r>
      <w:r w:rsidR="00E94B42">
        <w:t xml:space="preserve">They were also split </w:t>
      </w:r>
      <w:r w:rsidR="00147C14">
        <w:t xml:space="preserve">into </w:t>
      </w:r>
      <w:r w:rsidR="00B366BB">
        <w:t>three</w:t>
      </w:r>
      <w:r w:rsidR="00147C14">
        <w:t xml:space="preserve"> age groups: </w:t>
      </w:r>
      <w:r w:rsidR="00B15C32">
        <w:t>Late Childhood (</w:t>
      </w:r>
      <w:r w:rsidR="00AC422F">
        <w:t xml:space="preserve">n = 283, </w:t>
      </w:r>
      <w:r w:rsidR="00B15C32">
        <w:t xml:space="preserve">M = 11.66, SD = .93, </w:t>
      </w:r>
      <w:r w:rsidR="00E94B42">
        <w:t>139 boys</w:t>
      </w:r>
      <w:r w:rsidR="00B15C32">
        <w:t>), Early</w:t>
      </w:r>
      <w:r w:rsidR="009251B3">
        <w:t>-</w:t>
      </w:r>
      <w:r w:rsidR="00B15C32">
        <w:t xml:space="preserve"> </w:t>
      </w:r>
      <w:r w:rsidR="001A4943">
        <w:t>to Mid-</w:t>
      </w:r>
      <w:r w:rsidR="00B15C32">
        <w:lastRenderedPageBreak/>
        <w:t>Adolescence (</w:t>
      </w:r>
      <w:r w:rsidR="00AC422F">
        <w:t xml:space="preserve">n = 685, </w:t>
      </w:r>
      <w:r w:rsidR="00B15C32">
        <w:t>M = 14.48, SD = .91</w:t>
      </w:r>
      <w:r w:rsidR="00E94B42">
        <w:t>, 366 boys</w:t>
      </w:r>
      <w:r w:rsidR="00B15C32">
        <w:t>) and Late Adolescence (</w:t>
      </w:r>
      <w:r w:rsidR="00AC422F">
        <w:t xml:space="preserve">n = 221, </w:t>
      </w:r>
      <w:r w:rsidR="00B15C32">
        <w:t>M = 17.44, SD = .83</w:t>
      </w:r>
      <w:r w:rsidR="00E94B42">
        <w:t>, 60 boys</w:t>
      </w:r>
      <w:r w:rsidR="00B15C32">
        <w:t xml:space="preserve">). </w:t>
      </w:r>
      <w:r w:rsidR="00B06E84">
        <w:t xml:space="preserve"> </w:t>
      </w:r>
      <w:r w:rsidR="00EE43C7" w:rsidRPr="00EE43C7">
        <w:t>These three age groups were chosen because they map on to key periods of change in gender de</w:t>
      </w:r>
      <w:r w:rsidR="00EB5692">
        <w:t xml:space="preserve">velopment and moral reasoning </w:t>
      </w:r>
      <w:r w:rsidR="00EE43C7" w:rsidRPr="00EE43C7">
        <w:fldChar w:fldCharType="begin"/>
      </w:r>
      <w:r w:rsidR="00D77B05">
        <w:instrText xml:space="preserve"> ADDIN EN.CITE &lt;EndNote&gt;&lt;Cite&gt;&lt;Author&gt;Martin&lt;/Author&gt;&lt;Year&gt;2010&lt;/Year&gt;&lt;RecNum&gt;39&lt;/RecNum&gt;&lt;DisplayText&gt;(Martin &amp;amp; Ruble, 2010)&lt;/DisplayText&gt;&lt;record&gt;&lt;rec-number&gt;39&lt;/rec-number&gt;&lt;foreign-keys&gt;&lt;key app="EN" db-id="f5p9zd5zqsratqef5sv5pz2wpve092vrdw52"&gt;39&lt;/key&gt;&lt;/foreign-keys&gt;&lt;ref-type name="Journal Article"&gt;17&lt;/ref-type&gt;&lt;contributors&gt;&lt;authors&gt;&lt;author&gt;Martin, C. L.&lt;/author&gt;&lt;author&gt;Ruble, D. N.&lt;/author&gt;&lt;/authors&gt;&lt;/contributors&gt;&lt;titles&gt;&lt;title&gt;Patterns of Gender Development&lt;/title&gt;&lt;secondary-title&gt;Annual Review of Psychology&lt;/secondary-title&gt;&lt;/titles&gt;&lt;periodical&gt;&lt;full-title&gt;Annual Review of Psychology&lt;/full-title&gt;&lt;/periodical&gt;&lt;pages&gt;353-381&lt;/pages&gt;&lt;volume&gt;61&lt;/volume&gt;&lt;dates&gt;&lt;year&gt;2010&lt;/year&gt;&lt;/dates&gt;&lt;urls&gt;&lt;/urls&gt;&lt;electronic-resource-num&gt;10.1146/annurev.psych.093008.100511&lt;/electronic-resource-num&gt;&lt;/record&gt;&lt;/Cite&gt;&lt;/EndNote&gt;</w:instrText>
      </w:r>
      <w:r w:rsidR="00EE43C7" w:rsidRPr="00EE43C7">
        <w:fldChar w:fldCharType="separate"/>
      </w:r>
      <w:r w:rsidR="00D77B05">
        <w:rPr>
          <w:noProof/>
        </w:rPr>
        <w:t>(</w:t>
      </w:r>
      <w:hyperlink w:anchor="_ENREF_27" w:tooltip="Martin, 2010 #39" w:history="1">
        <w:r w:rsidR="00930389">
          <w:rPr>
            <w:noProof/>
          </w:rPr>
          <w:t>Martin &amp; Ruble, 2010</w:t>
        </w:r>
      </w:hyperlink>
      <w:r w:rsidR="00D77B05">
        <w:rPr>
          <w:noProof/>
        </w:rPr>
        <w:t>)</w:t>
      </w:r>
      <w:r w:rsidR="00EE43C7" w:rsidRPr="00EE43C7">
        <w:fldChar w:fldCharType="end"/>
      </w:r>
      <w:r w:rsidR="00EE43C7" w:rsidRPr="00EE43C7">
        <w:t xml:space="preserve">. </w:t>
      </w:r>
      <w:r w:rsidR="00C205AD" w:rsidRPr="00B74209">
        <w:t>Participants came from one primary school, one secondary</w:t>
      </w:r>
      <w:r w:rsidR="00F26019">
        <w:t xml:space="preserve"> school</w:t>
      </w:r>
      <w:r w:rsidR="00C205AD" w:rsidRPr="00B74209">
        <w:t>, and one college in the South East of the United Kingdom</w:t>
      </w:r>
      <w:r w:rsidR="00B06E84">
        <w:t xml:space="preserve">.  </w:t>
      </w:r>
      <w:r w:rsidR="00C205AD" w:rsidRPr="00B74209">
        <w:t xml:space="preserve">The majority of participants were White British (87%), with the remaining </w:t>
      </w:r>
      <w:r w:rsidR="00B74209" w:rsidRPr="00B74209">
        <w:t>percentage</w:t>
      </w:r>
      <w:r w:rsidR="00C205AD" w:rsidRPr="00B74209">
        <w:t xml:space="preserve"> from a range of ethnic background</w:t>
      </w:r>
      <w:r w:rsidR="00B74209" w:rsidRPr="00B74209">
        <w:t>s</w:t>
      </w:r>
      <w:r w:rsidR="00C205AD" w:rsidRPr="00B74209">
        <w:t xml:space="preserve"> (predominantly Other White, 2.6%, or </w:t>
      </w:r>
      <w:r w:rsidR="00B74209" w:rsidRPr="00B74209">
        <w:t>White and Black Caribbean, 2.0%).</w:t>
      </w:r>
    </w:p>
    <w:p w:rsidR="00423284" w:rsidRPr="001F64AF" w:rsidRDefault="00423284" w:rsidP="00DD151B">
      <w:pPr>
        <w:pStyle w:val="Heading2"/>
        <w:keepLines w:val="0"/>
        <w:spacing w:before="120" w:after="120"/>
        <w:contextualSpacing/>
        <w:jc w:val="center"/>
      </w:pPr>
      <w:r w:rsidRPr="001F64AF">
        <w:t>Materials</w:t>
      </w:r>
      <w:bookmarkEnd w:id="10"/>
      <w:r w:rsidRPr="001F64AF">
        <w:t xml:space="preserve"> and Procedure</w:t>
      </w:r>
    </w:p>
    <w:p w:rsidR="00B74209" w:rsidRPr="00B74209" w:rsidRDefault="00B74209" w:rsidP="00612B8A">
      <w:pPr>
        <w:spacing w:after="120"/>
        <w:ind w:firstLine="720"/>
        <w:contextualSpacing/>
      </w:pPr>
      <w:r w:rsidRPr="00B74209">
        <w:t xml:space="preserve">Each participant </w:t>
      </w:r>
      <w:r w:rsidR="00F26019">
        <w:t>was</w:t>
      </w:r>
      <w:r w:rsidRPr="00B74209">
        <w:t xml:space="preserve"> </w:t>
      </w:r>
      <w:r w:rsidR="00F26019">
        <w:t>presented with 24 prosocial items</w:t>
      </w:r>
      <w:r w:rsidRPr="00B74209">
        <w:t xml:space="preserve"> (shown in Table 1) to rate</w:t>
      </w:r>
      <w:r w:rsidR="00F26019">
        <w:t xml:space="preserve"> on a masculine/feminine 5-point scale</w:t>
      </w:r>
      <w:r w:rsidR="00B06E84">
        <w:t xml:space="preserve">.  </w:t>
      </w:r>
      <w:r w:rsidR="00B24582">
        <w:t xml:space="preserve">Items were from Bergin et al., (2003) </w:t>
      </w:r>
      <w:r w:rsidR="00262861">
        <w:t xml:space="preserve">and were originally generated by asking adolescents to name ‘positive social behaviours’ (a definition previously used by </w:t>
      </w:r>
      <w:proofErr w:type="spellStart"/>
      <w:r w:rsidR="00262861">
        <w:t>Mussen</w:t>
      </w:r>
      <w:proofErr w:type="spellEnd"/>
      <w:r w:rsidR="00262861">
        <w:t xml:space="preserve"> &amp; Eisenberg-berg</w:t>
      </w:r>
      <w:r w:rsidR="00262861">
        <w:fldChar w:fldCharType="begin"/>
      </w:r>
      <w:r w:rsidR="00262861">
        <w:instrText xml:space="preserve"> ADDIN EN.CITE &lt;EndNote&gt;&lt;Cite ExcludeAuth="1" ExcludeYear="1"&gt;&lt;Author&gt;Mussen&lt;/Author&gt;&lt;Year&gt;1977&lt;/Year&gt;&lt;RecNum&gt;727&lt;/RecNum&gt;&lt;record&gt;&lt;rec-number&gt;727&lt;/rec-number&gt;&lt;foreign-keys&gt;&lt;key app="EN" db-id="f5p9zd5zqsratqef5sv5pz2wpve092vrdw52"&gt;727&lt;/key&gt;&lt;/foreign-keys&gt;&lt;ref-type name="Book"&gt;6&lt;/ref-type&gt;&lt;contributors&gt;&lt;authors&gt;&lt;author&gt;Mussen, P.&lt;/author&gt;&lt;author&gt;Eisenberg-Berg, N.&lt;/author&gt;&lt;/authors&gt;&lt;/contributors&gt;&lt;titles&gt;&lt;title&gt;Roots of caring, sharing and helping: The development of pro-social behavior in children&lt;/title&gt;&lt;/titles&gt;&lt;dates&gt;&lt;year&gt;1977&lt;/year&gt;&lt;/dates&gt;&lt;pub-location&gt;San Francisco&lt;/pub-location&gt;&lt;publisher&gt;WH Freeman&lt;/publisher&gt;&lt;urls&gt;&lt;/urls&gt;&lt;/record&gt;&lt;/Cite&gt;&lt;/EndNote&gt;</w:instrText>
      </w:r>
      <w:r w:rsidR="00262861">
        <w:fldChar w:fldCharType="end"/>
      </w:r>
      <w:r w:rsidR="00262861">
        <w:t>, 1977)</w:t>
      </w:r>
      <w:r w:rsidR="00B06E84">
        <w:t xml:space="preserve">.  </w:t>
      </w:r>
      <w:r w:rsidR="00EC0EDA">
        <w:t>Whilst some items do not represent ‘traditional’ ideas of prosocial behaviour, they</w:t>
      </w:r>
      <w:r w:rsidR="00402293">
        <w:t xml:space="preserve"> were chosen because (a) they represent a significantly broader array of behaviours than is tradit</w:t>
      </w:r>
      <w:r w:rsidR="00EC0EDA">
        <w:t xml:space="preserve">ionally used in the literature (e.g., the four categories used in </w:t>
      </w:r>
      <w:proofErr w:type="spellStart"/>
      <w:r w:rsidR="00EC0EDA">
        <w:t>Fabes</w:t>
      </w:r>
      <w:proofErr w:type="spellEnd"/>
      <w:r w:rsidR="00EC0EDA">
        <w:t xml:space="preserve"> &amp; Eisenberg, 1996)</w:t>
      </w:r>
      <w:r w:rsidR="00402293">
        <w:t>, and (b) they were generated by early adolescents</w:t>
      </w:r>
      <w:r w:rsidR="00E34F3D">
        <w:t xml:space="preserve"> themselves</w:t>
      </w:r>
      <w:r w:rsidR="00402293">
        <w:t xml:space="preserve">, and are therefore </w:t>
      </w:r>
      <w:r w:rsidR="00C24EB9">
        <w:t xml:space="preserve">more </w:t>
      </w:r>
      <w:r w:rsidR="00402293">
        <w:t xml:space="preserve">likely </w:t>
      </w:r>
      <w:r w:rsidR="00C24EB9">
        <w:t xml:space="preserve">to be </w:t>
      </w:r>
      <w:r w:rsidR="00402293">
        <w:t>representative of children and ado</w:t>
      </w:r>
      <w:r w:rsidR="00EC0EDA">
        <w:t xml:space="preserve">lescents prosocial experiences </w:t>
      </w:r>
      <w:r w:rsidR="00EC0EDA">
        <w:fldChar w:fldCharType="begin"/>
      </w:r>
      <w:r w:rsidR="00FF2004">
        <w:instrText xml:space="preserve"> ADDIN EN.CITE &lt;EndNote&gt;&lt;Cite&gt;&lt;Author&gt;Bergin&lt;/Author&gt;&lt;Year&gt;2003&lt;/Year&gt;&lt;RecNum&gt;224&lt;/RecNum&gt;&lt;DisplayText&gt;(Bergin, et al., 2003)&lt;/DisplayText&gt;&lt;record&gt;&lt;rec-number&gt;224&lt;/rec-number&gt;&lt;foreign-keys&gt;&lt;key app="EN" db-id="f5p9zd5zqsratqef5sv5pz2wpve092vrdw52"&gt;224&lt;/key&gt;&lt;/foreign-keys&gt;&lt;ref-type name="Journal Article"&gt;17&lt;/ref-type&gt;&lt;contributors&gt;&lt;authors&gt;&lt;author&gt;Bergin, C.&lt;/author&gt;&lt;author&gt;Talley, S.&lt;/author&gt;&lt;author&gt;Hamer, L.&lt;/author&gt;&lt;/authors&gt;&lt;/contributors&gt;&lt;titles&gt;&lt;title&gt;Prosocial behaviours of young adolescents: a focus group study&lt;/title&gt;&lt;secondary-title&gt;Journal of Adolescence&lt;/secondary-title&gt;&lt;/titles&gt;&lt;periodical&gt;&lt;full-title&gt;Journal of Adolescence&lt;/full-title&gt;&lt;/periodical&gt;&lt;pages&gt;13-32&lt;/pages&gt;&lt;volume&gt;26&lt;/volume&gt;&lt;dates&gt;&lt;year&gt;2003&lt;/year&gt;&lt;/dates&gt;&lt;urls&gt;&lt;/urls&gt;&lt;electronic-resource-num&gt;10.1016/50140-1971(02)00112-4&lt;/electronic-resource-num&gt;&lt;/record&gt;&lt;/Cite&gt;&lt;/EndNote&gt;</w:instrText>
      </w:r>
      <w:r w:rsidR="00EC0EDA">
        <w:fldChar w:fldCharType="separate"/>
      </w:r>
      <w:r w:rsidR="00EC0EDA">
        <w:rPr>
          <w:noProof/>
        </w:rPr>
        <w:t>(</w:t>
      </w:r>
      <w:hyperlink w:anchor="_ENREF_5" w:tooltip="Bergin, 2003 #224" w:history="1">
        <w:r w:rsidR="00930389">
          <w:rPr>
            <w:noProof/>
          </w:rPr>
          <w:t>Bergin, et al., 2003</w:t>
        </w:r>
      </w:hyperlink>
      <w:r w:rsidR="00EC0EDA">
        <w:rPr>
          <w:noProof/>
        </w:rPr>
        <w:t>)</w:t>
      </w:r>
      <w:r w:rsidR="00EC0EDA">
        <w:fldChar w:fldCharType="end"/>
      </w:r>
      <w:r w:rsidR="00402293">
        <w:t xml:space="preserve">. </w:t>
      </w:r>
      <w:r w:rsidR="00B06E84">
        <w:t xml:space="preserve"> </w:t>
      </w:r>
      <w:r w:rsidR="00EC0EDA">
        <w:t>I</w:t>
      </w:r>
      <w:r w:rsidR="00262861">
        <w:t>tems</w:t>
      </w:r>
      <w:r w:rsidR="00B24582">
        <w:t xml:space="preserve"> consisted of explicit prosocial behaviours (</w:t>
      </w:r>
      <w:r w:rsidR="00B24582">
        <w:rPr>
          <w:i/>
        </w:rPr>
        <w:t xml:space="preserve">Providing Community </w:t>
      </w:r>
      <w:r w:rsidR="00B24582" w:rsidRPr="00D2526D">
        <w:rPr>
          <w:i/>
        </w:rPr>
        <w:t>Service</w:t>
      </w:r>
      <w:r w:rsidR="00B24582">
        <w:t>), prosocial traits (</w:t>
      </w:r>
      <w:r w:rsidR="00B24582" w:rsidRPr="00B24582">
        <w:rPr>
          <w:i/>
        </w:rPr>
        <w:t>Honest</w:t>
      </w:r>
      <w:r w:rsidR="00B24582">
        <w:t>), and omissions of negative behaviour regarded as prosocial (</w:t>
      </w:r>
      <w:r w:rsidR="00B24582">
        <w:rPr>
          <w:i/>
        </w:rPr>
        <w:t xml:space="preserve">Does Not </w:t>
      </w:r>
      <w:r w:rsidR="00B24582" w:rsidRPr="00B366BB">
        <w:rPr>
          <w:i/>
        </w:rPr>
        <w:t>Yell</w:t>
      </w:r>
      <w:r w:rsidR="00B24582">
        <w:t>) all of which ‘intend to benefit another’</w:t>
      </w:r>
      <w:r w:rsidR="00B06E84">
        <w:t xml:space="preserve">.  </w:t>
      </w:r>
      <w:r w:rsidRPr="00B24582">
        <w:t>They</w:t>
      </w:r>
      <w:r w:rsidRPr="00B74209">
        <w:t xml:space="preserve"> could choose from: very masculine (something mainly boys do), slightly masculine (something that mostly boys do but some girls do), neutral (something both boys and girls do), slightly feminine (something that mostly girls do but some boys do), and very feminine (something mainly girls do). </w:t>
      </w:r>
      <w:bookmarkStart w:id="11" w:name="_Toc348000453"/>
    </w:p>
    <w:bookmarkEnd w:id="11"/>
    <w:p w:rsidR="00423284" w:rsidRPr="00EE7997" w:rsidRDefault="00B74209" w:rsidP="00612B8A">
      <w:pPr>
        <w:spacing w:after="120"/>
        <w:contextualSpacing/>
      </w:pPr>
      <w:r w:rsidRPr="00B74209">
        <w:tab/>
      </w:r>
      <w:r w:rsidR="00E364E3">
        <w:t>Opt-out consent was obtained from parents before administration</w:t>
      </w:r>
      <w:r w:rsidR="00B06E84">
        <w:t xml:space="preserve">.  </w:t>
      </w:r>
      <w:r w:rsidRPr="00B74209">
        <w:t xml:space="preserve">Questionnaires were distributed to participants at the start of a school class. </w:t>
      </w:r>
      <w:r w:rsidR="00EE2888">
        <w:t xml:space="preserve"> </w:t>
      </w:r>
      <w:r>
        <w:t xml:space="preserve">A short, age-appropriate </w:t>
      </w:r>
      <w:r w:rsidR="00EE7997">
        <w:t>description of the study was provided</w:t>
      </w:r>
      <w:r w:rsidR="00B06E84">
        <w:t xml:space="preserve">.  </w:t>
      </w:r>
      <w:r w:rsidRPr="00B74209">
        <w:t xml:space="preserve">Participants were encouraged </w:t>
      </w:r>
      <w:r w:rsidR="00EE7997">
        <w:t>not to</w:t>
      </w:r>
      <w:r w:rsidRPr="00B74209">
        <w:t xml:space="preserve"> discuss their answers and to complete the questionnaire individually</w:t>
      </w:r>
      <w:r w:rsidR="00B06E84">
        <w:t xml:space="preserve">.  </w:t>
      </w:r>
      <w:r w:rsidR="00EE7997">
        <w:t>Any questions were answered as they arose</w:t>
      </w:r>
      <w:r w:rsidR="00B06E84">
        <w:t xml:space="preserve">.  </w:t>
      </w:r>
      <w:r w:rsidRPr="00B74209">
        <w:t xml:space="preserve">Teachers </w:t>
      </w:r>
      <w:r w:rsidR="00EE7997">
        <w:lastRenderedPageBreak/>
        <w:t>prevented</w:t>
      </w:r>
      <w:r w:rsidRPr="00B74209">
        <w:t xml:space="preserve"> talking and colluding as much as p</w:t>
      </w:r>
      <w:r w:rsidR="00EE7997">
        <w:t xml:space="preserve">ossible to ensure that answers were given </w:t>
      </w:r>
      <w:r w:rsidRPr="00B74209">
        <w:t>on an individual basis.</w:t>
      </w:r>
      <w:r w:rsidR="00423284" w:rsidRPr="001F64AF">
        <w:rPr>
          <w:rFonts w:cstheme="minorHAnsi"/>
          <w:sz w:val="24"/>
          <w:szCs w:val="24"/>
        </w:rPr>
        <w:tab/>
      </w:r>
    </w:p>
    <w:p w:rsidR="00423284" w:rsidRPr="001F64AF" w:rsidRDefault="00423284" w:rsidP="00612B8A">
      <w:pPr>
        <w:pStyle w:val="Heading1"/>
        <w:keepLines w:val="0"/>
        <w:spacing w:before="120" w:after="120"/>
        <w:contextualSpacing/>
        <w:rPr>
          <w:szCs w:val="24"/>
        </w:rPr>
      </w:pPr>
      <w:bookmarkStart w:id="12" w:name="_Toc348000454"/>
      <w:r w:rsidRPr="001F64AF">
        <w:rPr>
          <w:szCs w:val="24"/>
        </w:rPr>
        <w:t>Results</w:t>
      </w:r>
      <w:bookmarkEnd w:id="12"/>
    </w:p>
    <w:p w:rsidR="001B581C" w:rsidRDefault="001B581C" w:rsidP="00612B8A">
      <w:pPr>
        <w:spacing w:after="120"/>
        <w:ind w:firstLine="720"/>
        <w:contextualSpacing/>
      </w:pPr>
      <w:r>
        <w:t xml:space="preserve">Initially, the factorability of the 24 prosocial items was examined, firstly for the sample as a whole, then by age group and gender. </w:t>
      </w:r>
      <w:r w:rsidR="00B06E84">
        <w:t xml:space="preserve"> </w:t>
      </w:r>
      <w:r>
        <w:t xml:space="preserve">Several well-recognised criteria for the factorability of a correlation were used. </w:t>
      </w:r>
      <w:r w:rsidR="00B06E84">
        <w:t xml:space="preserve"> </w:t>
      </w:r>
      <w:r>
        <w:t xml:space="preserve">Firstly, it was observed that </w:t>
      </w:r>
      <w:r w:rsidR="00E2075C">
        <w:t>17</w:t>
      </w:r>
      <w:r>
        <w:t xml:space="preserve"> of the 24 items correlated at least .3 with one other item</w:t>
      </w:r>
      <w:r w:rsidR="00E2075C">
        <w:t xml:space="preserve"> (and this increased to 20 items with a threshold of .28)</w:t>
      </w:r>
      <w:r>
        <w:t>, suggesting reasonable factorability (see Table 1 for the whole sample correlation matrix)</w:t>
      </w:r>
      <w:r w:rsidR="0045382A">
        <w:t>.</w:t>
      </w:r>
      <w:r>
        <w:t xml:space="preserve"> </w:t>
      </w:r>
      <w:r w:rsidR="00B06E84">
        <w:t xml:space="preserve"> </w:t>
      </w:r>
      <w:r w:rsidR="00803467">
        <w:t xml:space="preserve">This was reflected in the correlation matrices for each age group and gender. </w:t>
      </w:r>
      <w:r w:rsidR="00B06E84">
        <w:t xml:space="preserve"> </w:t>
      </w:r>
      <w:r>
        <w:t>Secondly, the Kaiser-Meyer-</w:t>
      </w:r>
      <w:proofErr w:type="spellStart"/>
      <w:r>
        <w:t>Oklin</w:t>
      </w:r>
      <w:proofErr w:type="spellEnd"/>
      <w:r>
        <w:t xml:space="preserve"> measure of sampling adequacy was between .68 and .90 across all groups, above the commonly recommended value of .6 (exact values are shown in Table 2). </w:t>
      </w:r>
      <w:r w:rsidR="00B06E84">
        <w:t xml:space="preserve"> </w:t>
      </w:r>
      <w:r>
        <w:t xml:space="preserve">Furthermore, Bartlett’s test of </w:t>
      </w:r>
      <w:proofErr w:type="spellStart"/>
      <w:r>
        <w:t>sphericity</w:t>
      </w:r>
      <w:proofErr w:type="spellEnd"/>
      <w:r>
        <w:t xml:space="preserve"> was significant for the whole sample (χ2 (</w:t>
      </w:r>
      <w:r w:rsidR="00BE3057">
        <w:t>276</w:t>
      </w:r>
      <w:r>
        <w:t xml:space="preserve">) = </w:t>
      </w:r>
      <w:r w:rsidR="00BE3057">
        <w:t>5758.97</w:t>
      </w:r>
      <w:r>
        <w:t>, p &lt; .0</w:t>
      </w:r>
      <w:r w:rsidR="00BE3057">
        <w:t>001</w:t>
      </w:r>
      <w:r>
        <w:t>)</w:t>
      </w:r>
      <w:r w:rsidR="00BE3057">
        <w:t xml:space="preserve">, with similar values achieved across age and gender groups. </w:t>
      </w:r>
      <w:r w:rsidR="00B06E84">
        <w:t xml:space="preserve"> </w:t>
      </w:r>
      <w:r w:rsidR="00BE3057">
        <w:t>Given these overall indicators, factor analysis was deemed to be suitable with all 24 items.</w:t>
      </w:r>
    </w:p>
    <w:p w:rsidR="006E5C4E" w:rsidRDefault="00BE3057" w:rsidP="00612B8A">
      <w:pPr>
        <w:spacing w:after="120"/>
        <w:ind w:firstLine="720"/>
        <w:contextualSpacing/>
      </w:pPr>
      <w:r>
        <w:t xml:space="preserve">Exploratory factor analysis (EFA) was conducted </w:t>
      </w:r>
      <w:r w:rsidR="00803467">
        <w:t>on the 24 items for</w:t>
      </w:r>
      <w:r>
        <w:t xml:space="preserve"> the sample as a whole, and on each age group and gender, to identify the underlying structure and relationship between these items based on their masculine/feminine rating</w:t>
      </w:r>
      <w:r w:rsidR="00B06E84">
        <w:t xml:space="preserve">.  </w:t>
      </w:r>
      <w:r w:rsidR="00BE75CD">
        <w:t>Each</w:t>
      </w:r>
      <w:r w:rsidR="00B531A3">
        <w:t xml:space="preserve"> analysis</w:t>
      </w:r>
      <w:r w:rsidR="00EE7997" w:rsidRPr="00EE7997">
        <w:t xml:space="preserve"> revealed </w:t>
      </w:r>
      <w:r w:rsidR="00BE75CD">
        <w:t>between 4 and 6</w:t>
      </w:r>
      <w:r w:rsidR="00B531A3">
        <w:t xml:space="preserve"> </w:t>
      </w:r>
      <w:r>
        <w:t>factors</w:t>
      </w:r>
      <w:r w:rsidR="00EE7997" w:rsidRPr="00EE7997">
        <w:t xml:space="preserve"> </w:t>
      </w:r>
      <w:r w:rsidR="00883E8D">
        <w:t>with eigenvalues over 1</w:t>
      </w:r>
      <w:r>
        <w:t xml:space="preserve">, with </w:t>
      </w:r>
      <w:r w:rsidR="00C87E1A">
        <w:t xml:space="preserve">the first </w:t>
      </w:r>
      <w:r w:rsidR="00B366BB">
        <w:t>two</w:t>
      </w:r>
      <w:r w:rsidR="00C87E1A">
        <w:t xml:space="preserve"> factors explaining a significant amount of the</w:t>
      </w:r>
      <w:r>
        <w:t xml:space="preserve"> variance between them, </w:t>
      </w:r>
      <w:r w:rsidR="00803467">
        <w:t>and with</w:t>
      </w:r>
      <w:r>
        <w:t xml:space="preserve"> smaller values added by subsequent factors</w:t>
      </w:r>
      <w:r w:rsidR="00C87E1A">
        <w:t xml:space="preserve"> (</w:t>
      </w:r>
      <w:proofErr w:type="gramStart"/>
      <w:r w:rsidR="00C87E1A">
        <w:t>see</w:t>
      </w:r>
      <w:proofErr w:type="gramEnd"/>
      <w:r w:rsidR="00C87E1A">
        <w:t xml:space="preserve"> Table 2)</w:t>
      </w:r>
      <w:r>
        <w:t xml:space="preserve">. </w:t>
      </w:r>
      <w:r w:rsidR="00B06E84">
        <w:t xml:space="preserve"> </w:t>
      </w:r>
      <w:r>
        <w:t xml:space="preserve">Solutions for two to six factors were each examined using </w:t>
      </w:r>
      <w:proofErr w:type="spellStart"/>
      <w:r>
        <w:t>promax</w:t>
      </w:r>
      <w:proofErr w:type="spellEnd"/>
      <w:r>
        <w:t xml:space="preserve"> rotations of the factor loading matrix (as factors were shown to be significantly correlated and therefore statistically, as well as theoretically, related)</w:t>
      </w:r>
      <w:r w:rsidR="00B06E84">
        <w:t xml:space="preserve">.  </w:t>
      </w:r>
      <w:r w:rsidR="0045382A">
        <w:t>Values less than .3 were suppressed</w:t>
      </w:r>
      <w:r w:rsidR="00B06E84">
        <w:t xml:space="preserve">.  </w:t>
      </w:r>
      <w:r>
        <w:t xml:space="preserve">The two factor solution, </w:t>
      </w:r>
      <w:r w:rsidR="00C87E1A">
        <w:t>explaining between 24.6 and 34.4% of the variance, was preferred because of: (a</w:t>
      </w:r>
      <w:r w:rsidR="00803467">
        <w:t xml:space="preserve">) </w:t>
      </w:r>
      <w:r w:rsidR="00C87E1A">
        <w:t xml:space="preserve">the ‘levelling off’ of </w:t>
      </w:r>
      <w:proofErr w:type="spellStart"/>
      <w:r w:rsidR="00C87E1A">
        <w:t>eigen</w:t>
      </w:r>
      <w:proofErr w:type="spellEnd"/>
      <w:r w:rsidR="00C87E1A">
        <w:t xml:space="preserve"> values on t</w:t>
      </w:r>
      <w:r w:rsidR="00803467">
        <w:t xml:space="preserve">he </w:t>
      </w:r>
      <w:proofErr w:type="spellStart"/>
      <w:r w:rsidR="00803467">
        <w:t>scree</w:t>
      </w:r>
      <w:proofErr w:type="spellEnd"/>
      <w:r w:rsidR="00803467">
        <w:t xml:space="preserve"> plot after two factors,</w:t>
      </w:r>
      <w:r w:rsidR="00C87E1A">
        <w:t xml:space="preserve"> and (</w:t>
      </w:r>
      <w:r w:rsidR="00803467">
        <w:t>b</w:t>
      </w:r>
      <w:r w:rsidR="00C87E1A">
        <w:t xml:space="preserve">) the number of cross-loadings and difficulty in interpreting the three to six factor solutions. </w:t>
      </w:r>
    </w:p>
    <w:p w:rsidR="008634CB" w:rsidRDefault="005B292C" w:rsidP="00612B8A">
      <w:pPr>
        <w:spacing w:after="120"/>
        <w:ind w:firstLine="720"/>
        <w:contextualSpacing/>
      </w:pPr>
      <w:r>
        <w:t>R</w:t>
      </w:r>
      <w:r w:rsidR="00B531A3" w:rsidRPr="00B531A3">
        <w:t>otated solution</w:t>
      </w:r>
      <w:r w:rsidR="0045382A">
        <w:t>s are presented in Table 3</w:t>
      </w:r>
      <w:r w:rsidR="00BE75CD">
        <w:t xml:space="preserve">. </w:t>
      </w:r>
      <w:r w:rsidR="00B06E84">
        <w:t xml:space="preserve"> </w:t>
      </w:r>
      <w:r w:rsidR="00BE75CD">
        <w:t>Analysis on the sample as a whole</w:t>
      </w:r>
      <w:r w:rsidR="00B531A3" w:rsidRPr="00B531A3">
        <w:t xml:space="preserve"> revealed the presence of simple structure</w:t>
      </w:r>
      <w:r>
        <w:t>,</w:t>
      </w:r>
      <w:r w:rsidR="00B531A3" w:rsidRPr="00B531A3">
        <w:t xml:space="preserve"> with both components showing a number of strong loadings, and all variable</w:t>
      </w:r>
      <w:r w:rsidR="00B531A3">
        <w:t>s</w:t>
      </w:r>
      <w:r w:rsidR="00B531A3" w:rsidRPr="00B531A3">
        <w:t xml:space="preserve"> loading substantially on only one component</w:t>
      </w:r>
      <w:r w:rsidR="00B06E84">
        <w:t>.  T</w:t>
      </w:r>
      <w:r>
        <w:t>his is mirrored in the analyses conducted on separate age and gender groups, although significant diffe</w:t>
      </w:r>
      <w:r w:rsidR="00B61040">
        <w:t>rences are visible. F</w:t>
      </w:r>
      <w:r>
        <w:t>or example, early</w:t>
      </w:r>
      <w:r w:rsidR="009251B3">
        <w:t>-</w:t>
      </w:r>
      <w:r w:rsidR="001A4943">
        <w:t xml:space="preserve"> to mid-</w:t>
      </w:r>
      <w:r>
        <w:t>adolescents showed greater simple structur</w:t>
      </w:r>
      <w:r w:rsidR="00B61040">
        <w:t>e than the two other age groups (</w:t>
      </w:r>
      <w:r w:rsidR="006F3A23">
        <w:t>i.e.,</w:t>
      </w:r>
      <w:r w:rsidR="00B61040">
        <w:t xml:space="preserve"> at this age, all items loaded onto only one factor).  This is in contrast to late adolescence, </w:t>
      </w:r>
      <w:r w:rsidR="008634CB">
        <w:t>as a</w:t>
      </w:r>
      <w:r w:rsidR="00B61040">
        <w:t xml:space="preserve"> number of items failed to load on </w:t>
      </w:r>
      <w:proofErr w:type="gramStart"/>
      <w:r w:rsidR="00B61040">
        <w:t>either component, and</w:t>
      </w:r>
      <w:proofErr w:type="gramEnd"/>
      <w:r w:rsidR="00B61040">
        <w:t xml:space="preserve"> late childhood, where a number of items loaded on</w:t>
      </w:r>
      <w:r w:rsidR="008634CB">
        <w:t>to</w:t>
      </w:r>
      <w:r w:rsidR="00B61040">
        <w:t xml:space="preserve"> the </w:t>
      </w:r>
      <w:r w:rsidR="008634CB">
        <w:t>opposing</w:t>
      </w:r>
      <w:r w:rsidR="00B61040">
        <w:t xml:space="preserve"> factor.  In addition,</w:t>
      </w:r>
      <w:r>
        <w:t xml:space="preserve"> </w:t>
      </w:r>
      <w:r w:rsidR="008634CB">
        <w:t>boys and girls showed broadly similar categorisation of behaviours, as well as presence of simple structure. However, two items in particular loaded onto different components in these two groups (</w:t>
      </w:r>
      <w:r w:rsidR="00B366BB">
        <w:rPr>
          <w:i/>
        </w:rPr>
        <w:t xml:space="preserve">Does Not Brag </w:t>
      </w:r>
      <w:r w:rsidR="00B61040">
        <w:t xml:space="preserve">and </w:t>
      </w:r>
      <w:r w:rsidR="00B61040" w:rsidRPr="00B366BB">
        <w:rPr>
          <w:i/>
        </w:rPr>
        <w:t>Inclusive</w:t>
      </w:r>
      <w:r w:rsidR="00B61040">
        <w:t>)</w:t>
      </w:r>
      <w:r>
        <w:t>.</w:t>
      </w:r>
      <w:r w:rsidR="00B06E84">
        <w:t xml:space="preserve"> </w:t>
      </w:r>
      <w:r>
        <w:t xml:space="preserve"> </w:t>
      </w:r>
    </w:p>
    <w:p w:rsidR="00B531A3" w:rsidRPr="006E5C4E" w:rsidRDefault="00E5109F" w:rsidP="00612B8A">
      <w:pPr>
        <w:spacing w:after="120"/>
        <w:ind w:firstLine="720"/>
        <w:contextualSpacing/>
        <w:rPr>
          <w:rFonts w:cstheme="minorHAnsi"/>
          <w:sz w:val="24"/>
          <w:szCs w:val="24"/>
        </w:rPr>
      </w:pPr>
      <w:r>
        <w:t xml:space="preserve">Internal consistencies and composite mean scores for each factor in each group are shown in Table 2. </w:t>
      </w:r>
      <w:r w:rsidR="00B06E84">
        <w:t xml:space="preserve"> </w:t>
      </w:r>
      <w:r>
        <w:t>After examining the types of items loading onto each fac</w:t>
      </w:r>
      <w:r w:rsidR="00EC0EDA">
        <w:t>tor, factor labels of ‘feminine</w:t>
      </w:r>
      <w:r>
        <w:t xml:space="preserve">’ and ‘masculine’ were proposed for factors 1 and 2 respectively. </w:t>
      </w:r>
      <w:r w:rsidR="00B06E84">
        <w:t xml:space="preserve"> </w:t>
      </w:r>
      <w:r w:rsidR="003D0A4B">
        <w:t>A</w:t>
      </w:r>
      <w:r w:rsidR="00107B72">
        <w:t>cross all groups (with some minor variations</w:t>
      </w:r>
      <w:r w:rsidR="008634CB">
        <w:t>, as discussed above</w:t>
      </w:r>
      <w:r w:rsidR="00107B72">
        <w:t>)</w:t>
      </w:r>
      <w:r w:rsidR="005B292C">
        <w:t xml:space="preserve"> </w:t>
      </w:r>
      <w:r w:rsidR="00F26019">
        <w:t>seven</w:t>
      </w:r>
      <w:r w:rsidR="00B531A3" w:rsidRPr="00B531A3">
        <w:t xml:space="preserve"> </w:t>
      </w:r>
      <w:r w:rsidR="00B24582">
        <w:t>items</w:t>
      </w:r>
      <w:r w:rsidR="00B531A3" w:rsidRPr="00B531A3">
        <w:t xml:space="preserve"> </w:t>
      </w:r>
      <w:r>
        <w:t xml:space="preserve">with characteristics congruent with the male gender role </w:t>
      </w:r>
      <w:r w:rsidR="005B292C">
        <w:t xml:space="preserve">consistently loaded onto </w:t>
      </w:r>
      <w:r>
        <w:t>factor 2</w:t>
      </w:r>
      <w:r w:rsidR="005B292C">
        <w:t xml:space="preserve"> </w:t>
      </w:r>
      <w:r w:rsidR="00B531A3" w:rsidRPr="00B531A3">
        <w:t>(</w:t>
      </w:r>
      <w:r w:rsidR="00B531A3" w:rsidRPr="00B366BB">
        <w:rPr>
          <w:i/>
        </w:rPr>
        <w:t xml:space="preserve">Humorous, </w:t>
      </w:r>
      <w:r w:rsidR="00B366BB">
        <w:rPr>
          <w:i/>
        </w:rPr>
        <w:t>W</w:t>
      </w:r>
      <w:r w:rsidR="00B531A3" w:rsidRPr="00B366BB">
        <w:rPr>
          <w:i/>
        </w:rPr>
        <w:t xml:space="preserve">illing to </w:t>
      </w:r>
      <w:r w:rsidR="00B366BB">
        <w:rPr>
          <w:i/>
        </w:rPr>
        <w:t>P</w:t>
      </w:r>
      <w:r w:rsidR="00B531A3" w:rsidRPr="00B366BB">
        <w:rPr>
          <w:i/>
        </w:rPr>
        <w:t xml:space="preserve">lay, </w:t>
      </w:r>
      <w:r w:rsidR="00B366BB">
        <w:rPr>
          <w:i/>
        </w:rPr>
        <w:t>P</w:t>
      </w:r>
      <w:r w:rsidR="00B531A3" w:rsidRPr="00B366BB">
        <w:rPr>
          <w:i/>
        </w:rPr>
        <w:t xml:space="preserve">rovides </w:t>
      </w:r>
      <w:r w:rsidR="00B366BB">
        <w:rPr>
          <w:i/>
        </w:rPr>
        <w:t>P</w:t>
      </w:r>
      <w:r w:rsidR="00B531A3" w:rsidRPr="00B366BB">
        <w:rPr>
          <w:i/>
        </w:rPr>
        <w:t xml:space="preserve">hysical </w:t>
      </w:r>
      <w:r w:rsidR="00B366BB">
        <w:rPr>
          <w:i/>
        </w:rPr>
        <w:t>A</w:t>
      </w:r>
      <w:r w:rsidR="00B531A3" w:rsidRPr="00B366BB">
        <w:rPr>
          <w:i/>
        </w:rPr>
        <w:t xml:space="preserve">ssistance, </w:t>
      </w:r>
      <w:r w:rsidR="00B366BB">
        <w:rPr>
          <w:i/>
        </w:rPr>
        <w:t>G</w:t>
      </w:r>
      <w:r w:rsidR="00B531A3" w:rsidRPr="00B366BB">
        <w:rPr>
          <w:i/>
        </w:rPr>
        <w:t xml:space="preserve">ood </w:t>
      </w:r>
      <w:r w:rsidR="00B366BB">
        <w:rPr>
          <w:i/>
        </w:rPr>
        <w:t>S</w:t>
      </w:r>
      <w:r w:rsidR="00B531A3" w:rsidRPr="00B366BB">
        <w:rPr>
          <w:i/>
        </w:rPr>
        <w:t>port</w:t>
      </w:r>
      <w:r w:rsidR="00107B72" w:rsidRPr="00B366BB">
        <w:rPr>
          <w:i/>
        </w:rPr>
        <w:t xml:space="preserve">, </w:t>
      </w:r>
      <w:r w:rsidR="00B366BB">
        <w:rPr>
          <w:i/>
        </w:rPr>
        <w:t>S</w:t>
      </w:r>
      <w:r w:rsidR="00B531A3" w:rsidRPr="00B366BB">
        <w:rPr>
          <w:i/>
        </w:rPr>
        <w:t xml:space="preserve">tands up for </w:t>
      </w:r>
      <w:r w:rsidR="00B366BB">
        <w:rPr>
          <w:i/>
        </w:rPr>
        <w:t>O</w:t>
      </w:r>
      <w:r w:rsidR="00B531A3" w:rsidRPr="00B366BB">
        <w:rPr>
          <w:i/>
        </w:rPr>
        <w:t xml:space="preserve">thers, </w:t>
      </w:r>
      <w:r w:rsidR="00B366BB">
        <w:rPr>
          <w:i/>
        </w:rPr>
        <w:t>K</w:t>
      </w:r>
      <w:r w:rsidR="00B531A3" w:rsidRPr="00B366BB">
        <w:rPr>
          <w:i/>
        </w:rPr>
        <w:t xml:space="preserve">eeps Confidences, and </w:t>
      </w:r>
      <w:r w:rsidR="00B366BB">
        <w:rPr>
          <w:i/>
        </w:rPr>
        <w:t>C</w:t>
      </w:r>
      <w:r w:rsidR="00B531A3" w:rsidRPr="00B366BB">
        <w:rPr>
          <w:i/>
        </w:rPr>
        <w:t xml:space="preserve">onfronts </w:t>
      </w:r>
      <w:r w:rsidR="00B366BB">
        <w:rPr>
          <w:i/>
        </w:rPr>
        <w:t>O</w:t>
      </w:r>
      <w:r w:rsidR="00B531A3" w:rsidRPr="00B366BB">
        <w:rPr>
          <w:i/>
        </w:rPr>
        <w:t xml:space="preserve">thers </w:t>
      </w:r>
      <w:r w:rsidR="00B366BB">
        <w:rPr>
          <w:i/>
        </w:rPr>
        <w:t>W</w:t>
      </w:r>
      <w:r w:rsidR="00B531A3" w:rsidRPr="00B366BB">
        <w:rPr>
          <w:i/>
        </w:rPr>
        <w:t xml:space="preserve">hen </w:t>
      </w:r>
      <w:r w:rsidR="00B366BB">
        <w:rPr>
          <w:i/>
        </w:rPr>
        <w:t>W</w:t>
      </w:r>
      <w:r w:rsidR="00B531A3" w:rsidRPr="00B366BB">
        <w:rPr>
          <w:i/>
        </w:rPr>
        <w:t>rong</w:t>
      </w:r>
      <w:r w:rsidR="00B531A3" w:rsidRPr="00B531A3">
        <w:t>).</w:t>
      </w:r>
      <w:r w:rsidR="00710EDE">
        <w:t xml:space="preserve"> </w:t>
      </w:r>
      <w:r w:rsidR="00B06E84">
        <w:t xml:space="preserve"> </w:t>
      </w:r>
      <w:r>
        <w:t xml:space="preserve">Items congruent with the female gender role (e.g., </w:t>
      </w:r>
      <w:r w:rsidR="00B366BB" w:rsidRPr="00B366BB">
        <w:rPr>
          <w:i/>
        </w:rPr>
        <w:t>P</w:t>
      </w:r>
      <w:r w:rsidR="00B366BB">
        <w:rPr>
          <w:i/>
        </w:rPr>
        <w:t>roviding E</w:t>
      </w:r>
      <w:r w:rsidRPr="00B366BB">
        <w:rPr>
          <w:i/>
        </w:rPr>
        <w:t xml:space="preserve">motional </w:t>
      </w:r>
      <w:r w:rsidR="00B366BB">
        <w:rPr>
          <w:i/>
        </w:rPr>
        <w:t>S</w:t>
      </w:r>
      <w:r w:rsidRPr="00B366BB">
        <w:rPr>
          <w:i/>
        </w:rPr>
        <w:t>upport</w:t>
      </w:r>
      <w:r>
        <w:t>) and those with no obvious gender characterisation (</w:t>
      </w:r>
      <w:r w:rsidR="00B366BB">
        <w:t xml:space="preserve">e.g., </w:t>
      </w:r>
      <w:r w:rsidR="00B366BB">
        <w:rPr>
          <w:i/>
        </w:rPr>
        <w:t>H</w:t>
      </w:r>
      <w:r w:rsidR="00803467" w:rsidRPr="00B366BB">
        <w:rPr>
          <w:i/>
        </w:rPr>
        <w:t>onest</w:t>
      </w:r>
      <w:r w:rsidR="00803467">
        <w:t>)</w:t>
      </w:r>
      <w:r w:rsidR="001A4943">
        <w:t xml:space="preserve"> loaded</w:t>
      </w:r>
      <w:r w:rsidR="00803467">
        <w:t xml:space="preserve"> onto factor 1 in most groups. </w:t>
      </w:r>
      <w:r w:rsidR="00B06E84">
        <w:t xml:space="preserve"> </w:t>
      </w:r>
      <w:r w:rsidR="001A4943">
        <w:t>Ot</w:t>
      </w:r>
      <w:r w:rsidR="00B366BB">
        <w:t xml:space="preserve">her explanations were explored, </w:t>
      </w:r>
      <w:r w:rsidR="001A4943">
        <w:t>such as whether items loaded due to their beha</w:t>
      </w:r>
      <w:r w:rsidR="00B366BB">
        <w:t>viour type</w:t>
      </w:r>
      <w:r w:rsidR="001A4943">
        <w:t xml:space="preserve">, but these were not supported. </w:t>
      </w:r>
      <w:r w:rsidR="00803467">
        <w:t xml:space="preserve">Overall, these analyses indicated that two distinct factors were underlying the </w:t>
      </w:r>
      <w:r w:rsidR="00576C9D">
        <w:t xml:space="preserve">responses given to these items, and that participants </w:t>
      </w:r>
      <w:r w:rsidR="00EC0EDA">
        <w:t>may have rated</w:t>
      </w:r>
      <w:r w:rsidR="00576C9D">
        <w:t xml:space="preserve"> </w:t>
      </w:r>
      <w:r w:rsidR="00460B97">
        <w:t xml:space="preserve">these </w:t>
      </w:r>
      <w:r w:rsidR="00576C9D">
        <w:t>items</w:t>
      </w:r>
      <w:r w:rsidR="00460B97">
        <w:t xml:space="preserve"> based o</w:t>
      </w:r>
      <w:r w:rsidR="00EC0EDA">
        <w:t>n their congruency with the male or</w:t>
      </w:r>
      <w:r w:rsidR="00460B97">
        <w:t xml:space="preserve"> female gender role.</w:t>
      </w:r>
    </w:p>
    <w:p w:rsidR="00423284" w:rsidRPr="00056751" w:rsidRDefault="00423284" w:rsidP="00612B8A">
      <w:pPr>
        <w:pStyle w:val="Heading1"/>
        <w:keepLines w:val="0"/>
        <w:spacing w:before="120" w:after="120"/>
        <w:contextualSpacing/>
      </w:pPr>
      <w:bookmarkStart w:id="13" w:name="_Toc348000455"/>
      <w:r w:rsidRPr="001F64AF">
        <w:t>Discussion</w:t>
      </w:r>
      <w:bookmarkEnd w:id="13"/>
    </w:p>
    <w:p w:rsidR="00271FDC" w:rsidRDefault="00EE2888" w:rsidP="00612B8A">
      <w:pPr>
        <w:spacing w:after="120"/>
        <w:contextualSpacing/>
      </w:pPr>
      <w:r>
        <w:t>Results from</w:t>
      </w:r>
      <w:r w:rsidR="004448E8">
        <w:t xml:space="preserve"> the present study indicate </w:t>
      </w:r>
      <w:r>
        <w:t xml:space="preserve">that, from a young age, </w:t>
      </w:r>
      <w:r w:rsidR="0059180E">
        <w:t xml:space="preserve">children and adolescents </w:t>
      </w:r>
      <w:r>
        <w:t>judge</w:t>
      </w:r>
      <w:r w:rsidR="0059180E">
        <w:t xml:space="preserve"> certain forms of prosocial</w:t>
      </w:r>
      <w:r>
        <w:t xml:space="preserve"> behaviour to be</w:t>
      </w:r>
      <w:r w:rsidR="0059180E">
        <w:t xml:space="preserve"> </w:t>
      </w:r>
      <w:r w:rsidR="00C81974">
        <w:t xml:space="preserve">male-typed. </w:t>
      </w:r>
      <w:r w:rsidR="00B06E84">
        <w:t xml:space="preserve"> </w:t>
      </w:r>
      <w:r w:rsidR="00FA6D2F">
        <w:t xml:space="preserve">This is the first study to </w:t>
      </w:r>
      <w:r w:rsidR="00C81974">
        <w:t xml:space="preserve">demonstrate that prosociality </w:t>
      </w:r>
      <w:r w:rsidR="00FA6D2F">
        <w:t>is not uniformly female-typed across this age range</w:t>
      </w:r>
      <w:r w:rsidR="00B366BB">
        <w:t>, and does so uniquely by utilis</w:t>
      </w:r>
      <w:r w:rsidR="00C81974">
        <w:t>ing a broader range of prosocial behaviours than is typical in this area of research</w:t>
      </w:r>
      <w:r w:rsidR="00B06E84">
        <w:t xml:space="preserve">.  </w:t>
      </w:r>
      <w:r w:rsidR="00C81974">
        <w:t xml:space="preserve">Importantly, these results are highly reflective of the agentic vs. communal dichotomy of prosocial behaviours shown in men and women respectively as adults </w:t>
      </w:r>
      <w:r w:rsidR="00C81974">
        <w:fldChar w:fldCharType="begin"/>
      </w:r>
      <w:r w:rsidR="00C81974">
        <w:instrText xml:space="preserve"> ADDIN EN.CITE &lt;EndNote&gt;&lt;Cite&gt;&lt;Author&gt;Eagly&lt;/Author&gt;&lt;Year&gt;2009&lt;/Year&gt;&lt;RecNum&gt;105&lt;/RecNum&gt;&lt;DisplayText&gt;(Eagly, 2009)&lt;/DisplayText&gt;&lt;record&gt;&lt;rec-number&gt;105&lt;/rec-number&gt;&lt;foreign-keys&gt;&lt;key app="EN" db-id="f5p9zd5zqsratqef5sv5pz2wpve092vrdw52"&gt;105&lt;/key&gt;&lt;/foreign-keys&gt;&lt;ref-type name="Journal Article"&gt;17&lt;/ref-type&gt;&lt;contributors&gt;&lt;authors&gt;&lt;author&gt;Eagly, A. H.&lt;/author&gt;&lt;/authors&gt;&lt;/contributors&gt;&lt;titles&gt;&lt;title&gt;The His and Hers of Prosocial Behavior: An Examination of the Social Psychology of Gender&lt;/title&gt;&lt;secondary-title&gt;American Psychologist&lt;/secondary-title&gt;&lt;/titles&gt;&lt;periodical&gt;&lt;full-title&gt;American Psychologist&lt;/full-title&gt;&lt;/periodical&gt;&lt;pages&gt;644-658&lt;/pages&gt;&lt;volume&gt;64&lt;/volume&gt;&lt;dates&gt;&lt;year&gt;2009&lt;/year&gt;&lt;/dates&gt;&lt;urls&gt;&lt;/urls&gt;&lt;electronic-resource-num&gt;10.1037/0003-066X.64.8644&lt;/electronic-resource-num&gt;&lt;/record&gt;&lt;/Cite&gt;&lt;/EndNote&gt;</w:instrText>
      </w:r>
      <w:r w:rsidR="00C81974">
        <w:fldChar w:fldCharType="separate"/>
      </w:r>
      <w:r w:rsidR="00C81974">
        <w:rPr>
          <w:noProof/>
        </w:rPr>
        <w:t>(</w:t>
      </w:r>
      <w:hyperlink w:anchor="_ENREF_8" w:tooltip="Eagly, 2009 #105" w:history="1">
        <w:r w:rsidR="00930389">
          <w:rPr>
            <w:noProof/>
          </w:rPr>
          <w:t>Eagly, 2009</w:t>
        </w:r>
      </w:hyperlink>
      <w:r w:rsidR="00C81974">
        <w:rPr>
          <w:noProof/>
        </w:rPr>
        <w:t>)</w:t>
      </w:r>
      <w:r w:rsidR="00C81974">
        <w:fldChar w:fldCharType="end"/>
      </w:r>
      <w:r w:rsidR="00C81974">
        <w:t xml:space="preserve">. </w:t>
      </w:r>
      <w:r w:rsidR="00B06E84">
        <w:t xml:space="preserve"> </w:t>
      </w:r>
      <w:r w:rsidR="00DD151B">
        <w:t xml:space="preserve">The </w:t>
      </w:r>
      <w:r w:rsidR="00BC7C84">
        <w:t xml:space="preserve">differential </w:t>
      </w:r>
      <w:r w:rsidR="00C81974">
        <w:t xml:space="preserve">gender-typing of prosocial behaviours </w:t>
      </w:r>
      <w:r w:rsidR="00BC7C84">
        <w:t>seen in this study</w:t>
      </w:r>
      <w:r w:rsidR="0059180E">
        <w:t xml:space="preserve"> may </w:t>
      </w:r>
      <w:r w:rsidR="003D0A4B">
        <w:t xml:space="preserve">therefore </w:t>
      </w:r>
      <w:r w:rsidR="00BC7C84">
        <w:t>provide a</w:t>
      </w:r>
      <w:r w:rsidR="0059180E">
        <w:t xml:space="preserve"> precursor to </w:t>
      </w:r>
      <w:r w:rsidR="00C81974">
        <w:t xml:space="preserve">gender differences in </w:t>
      </w:r>
      <w:r w:rsidR="0059180E">
        <w:t xml:space="preserve">prosocial </w:t>
      </w:r>
      <w:r w:rsidR="00B84A05">
        <w:t>behaviour observed in adulthood,</w:t>
      </w:r>
      <w:r w:rsidR="00BC7C84">
        <w:t xml:space="preserve"> as</w:t>
      </w:r>
      <w:r w:rsidR="00C81974">
        <w:t xml:space="preserve"> the implications</w:t>
      </w:r>
      <w:r w:rsidR="0088250F">
        <w:t xml:space="preserve"> of </w:t>
      </w:r>
      <w:r w:rsidR="006F3A23">
        <w:t>these judgements</w:t>
      </w:r>
      <w:r w:rsidR="00BC7C84">
        <w:t xml:space="preserve"> are absorbed and enacted</w:t>
      </w:r>
      <w:r w:rsidR="0088250F">
        <w:t xml:space="preserve"> (</w:t>
      </w:r>
      <w:r w:rsidR="006F3A23">
        <w:t>i.e.,</w:t>
      </w:r>
      <w:r w:rsidR="0088250F">
        <w:t xml:space="preserve"> </w:t>
      </w:r>
      <w:r w:rsidR="003D0A4B">
        <w:t>as children make</w:t>
      </w:r>
      <w:r w:rsidR="00EC0EDA">
        <w:t xml:space="preserve"> assumptions </w:t>
      </w:r>
      <w:r w:rsidR="003D0A4B">
        <w:t>regarding</w:t>
      </w:r>
      <w:r w:rsidR="00EC0EDA">
        <w:t xml:space="preserve"> </w:t>
      </w:r>
      <w:r w:rsidR="0088250F">
        <w:t>the appropriateness of these actions for boys and girls).</w:t>
      </w:r>
      <w:r w:rsidR="00B84A05">
        <w:t xml:space="preserve"> </w:t>
      </w:r>
      <w:r w:rsidR="00BC7C84">
        <w:t xml:space="preserve"> </w:t>
      </w:r>
      <w:r w:rsidR="00271FDC">
        <w:t>It is important to note that this study does not measure the performance of prosocial behaviours, but rather aims to conceptuali</w:t>
      </w:r>
      <w:r w:rsidR="00B366BB">
        <w:t>s</w:t>
      </w:r>
      <w:r w:rsidR="00271FDC">
        <w:t xml:space="preserve">e the development of judgements about the appropriateness of certain behaviours for boys and girls based on gender beliefs and stereotypes.  </w:t>
      </w:r>
    </w:p>
    <w:p w:rsidR="00D76FE6" w:rsidRDefault="00935F5A" w:rsidP="00271FDC">
      <w:pPr>
        <w:spacing w:after="120"/>
        <w:ind w:firstLine="720"/>
        <w:contextualSpacing/>
      </w:pPr>
      <w:r>
        <w:t>Many of the items (17) loaded onto the 1</w:t>
      </w:r>
      <w:r w:rsidRPr="00935F5A">
        <w:rPr>
          <w:vertAlign w:val="superscript"/>
        </w:rPr>
        <w:t>st</w:t>
      </w:r>
      <w:r>
        <w:t xml:space="preserve"> component – </w:t>
      </w:r>
      <w:r w:rsidR="00056751">
        <w:t>Feminine</w:t>
      </w:r>
      <w:r w:rsidR="00B06E84">
        <w:t xml:space="preserve">.  </w:t>
      </w:r>
      <w:r w:rsidR="00BD393F">
        <w:t>These items included behaviours that are synonymous with the female gender role, and are stereotypically feminine (</w:t>
      </w:r>
      <w:r w:rsidR="006F3A23">
        <w:t>e.g.,</w:t>
      </w:r>
      <w:r w:rsidR="00BD393F">
        <w:t xml:space="preserve"> </w:t>
      </w:r>
      <w:r w:rsidR="00BD393F">
        <w:rPr>
          <w:i/>
        </w:rPr>
        <w:t xml:space="preserve">Providing </w:t>
      </w:r>
      <w:r w:rsidR="00BD393F" w:rsidRPr="00F26019">
        <w:rPr>
          <w:i/>
        </w:rPr>
        <w:t>Emotional Support</w:t>
      </w:r>
      <w:r w:rsidR="00BD393F">
        <w:t>)</w:t>
      </w:r>
      <w:r w:rsidR="00B06E84">
        <w:t xml:space="preserve">.  </w:t>
      </w:r>
      <w:r w:rsidR="00D76FE6">
        <w:t xml:space="preserve">In addition, items not obviously aligned with either gender role loaded onto this component </w:t>
      </w:r>
      <w:r w:rsidR="00BD393F">
        <w:t>(</w:t>
      </w:r>
      <w:r w:rsidR="006F3A23">
        <w:t>e.g.,</w:t>
      </w:r>
      <w:r w:rsidR="00BD393F">
        <w:t xml:space="preserve"> </w:t>
      </w:r>
      <w:r w:rsidR="00BD393F" w:rsidRPr="00935F5A">
        <w:rPr>
          <w:i/>
        </w:rPr>
        <w:t>Hone</w:t>
      </w:r>
      <w:r w:rsidR="00BD393F">
        <w:rPr>
          <w:i/>
        </w:rPr>
        <w:t>s</w:t>
      </w:r>
      <w:r w:rsidR="00BD393F" w:rsidRPr="00935F5A">
        <w:rPr>
          <w:i/>
        </w:rPr>
        <w:t>t</w:t>
      </w:r>
      <w:r w:rsidR="00BD393F">
        <w:t>)</w:t>
      </w:r>
      <w:r w:rsidR="00B06E84">
        <w:t xml:space="preserve">.  </w:t>
      </w:r>
      <w:r w:rsidR="00D76FE6">
        <w:t xml:space="preserve">This is most likely due to the fact that prosociality is broadly thought of as feminine, and </w:t>
      </w:r>
      <w:r w:rsidR="00056751">
        <w:t xml:space="preserve">‘neutral’ prosocial items often garner feminine ratings in gender-typing studies </w:t>
      </w:r>
      <w:r w:rsidR="00056751">
        <w:fldChar w:fldCharType="begin"/>
      </w:r>
      <w:r w:rsidR="00F94F8C">
        <w:instrText xml:space="preserve"> ADDIN EN.CITE &lt;EndNote&gt;&lt;Cite&gt;&lt;Author&gt;Zarbatany&lt;/Author&gt;&lt;Year&gt;1985&lt;/Year&gt;&lt;RecNum&gt;113&lt;/RecNum&gt;&lt;DisplayText&gt;(Zarbatany, Hartmann, Gelfand, &amp;amp; Vinciguerra, 1985)&lt;/DisplayText&gt;&lt;record&gt;&lt;rec-number&gt;113&lt;/rec-number&gt;&lt;foreign-keys&gt;&lt;key app="EN" db-id="f5p9zd5zqsratqef5sv5pz2wpve092vrdw52"&gt;113&lt;/key&gt;&lt;/foreign-keys&gt;&lt;ref-type name="Journal Article"&gt;17&lt;/ref-type&gt;&lt;contributors&gt;&lt;authors&gt;&lt;author&gt;Zarbatany, L.&lt;/author&gt;&lt;author&gt;Hartmann, D. P.&lt;/author&gt;&lt;author&gt;Gelfand, D. M.&lt;/author&gt;&lt;author&gt;Vinciguerra, P.&lt;/author&gt;&lt;/authors&gt;&lt;/contributors&gt;&lt;titles&gt;&lt;title&gt;Gender Differences in Altruistic Reputation: Are They Artifactual?&lt;/title&gt;&lt;secondary-title&gt;Developmental Psychology&lt;/secondary-title&gt;&lt;/titles&gt;&lt;periodical&gt;&lt;full-title&gt;Developmental Psychology&lt;/full-title&gt;&lt;/periodical&gt;&lt;pages&gt;97-101&lt;/pages&gt;&lt;volume&gt;21&lt;/volume&gt;&lt;dates&gt;&lt;year&gt;1985&lt;/year&gt;&lt;/dates&gt;&lt;urls&gt;&lt;/urls&gt;&lt;electronic-resource-num&gt;10.1037/0012-1649.21.1.97&lt;/electronic-resource-num&gt;&lt;/record&gt;&lt;/Cite&gt;&lt;/EndNote&gt;</w:instrText>
      </w:r>
      <w:r w:rsidR="00056751">
        <w:fldChar w:fldCharType="separate"/>
      </w:r>
      <w:r w:rsidR="00056751">
        <w:rPr>
          <w:noProof/>
        </w:rPr>
        <w:t>(</w:t>
      </w:r>
      <w:hyperlink w:anchor="_ENREF_40" w:tooltip="Zarbatany, 1985 #113" w:history="1">
        <w:r w:rsidR="00930389">
          <w:rPr>
            <w:noProof/>
          </w:rPr>
          <w:t>Zarbatany, Hartmann, Gelfand, &amp; Vinciguerra, 1985</w:t>
        </w:r>
      </w:hyperlink>
      <w:r w:rsidR="00056751">
        <w:rPr>
          <w:noProof/>
        </w:rPr>
        <w:t>)</w:t>
      </w:r>
      <w:r w:rsidR="00056751">
        <w:fldChar w:fldCharType="end"/>
      </w:r>
      <w:r w:rsidR="00B06E84">
        <w:t xml:space="preserve">.  </w:t>
      </w:r>
      <w:r w:rsidR="00D76FE6">
        <w:t>However, a distinct subset of seven behaviours (</w:t>
      </w:r>
      <w:r w:rsidR="00E34F3D" w:rsidRPr="00B366BB">
        <w:rPr>
          <w:i/>
        </w:rPr>
        <w:t xml:space="preserve">Humorous, </w:t>
      </w:r>
      <w:r w:rsidR="00E34F3D">
        <w:rPr>
          <w:i/>
        </w:rPr>
        <w:t>W</w:t>
      </w:r>
      <w:r w:rsidR="00E34F3D" w:rsidRPr="00B366BB">
        <w:rPr>
          <w:i/>
        </w:rPr>
        <w:t xml:space="preserve">illing to </w:t>
      </w:r>
      <w:r w:rsidR="00E34F3D">
        <w:rPr>
          <w:i/>
        </w:rPr>
        <w:t>P</w:t>
      </w:r>
      <w:r w:rsidR="00E34F3D" w:rsidRPr="00B366BB">
        <w:rPr>
          <w:i/>
        </w:rPr>
        <w:t xml:space="preserve">lay, </w:t>
      </w:r>
      <w:r w:rsidR="00E34F3D">
        <w:rPr>
          <w:i/>
        </w:rPr>
        <w:t>P</w:t>
      </w:r>
      <w:r w:rsidR="00E34F3D" w:rsidRPr="00B366BB">
        <w:rPr>
          <w:i/>
        </w:rPr>
        <w:t xml:space="preserve">rovides </w:t>
      </w:r>
      <w:r w:rsidR="00E34F3D">
        <w:rPr>
          <w:i/>
        </w:rPr>
        <w:t>P</w:t>
      </w:r>
      <w:r w:rsidR="00E34F3D" w:rsidRPr="00B366BB">
        <w:rPr>
          <w:i/>
        </w:rPr>
        <w:t xml:space="preserve">hysical </w:t>
      </w:r>
      <w:r w:rsidR="00E34F3D">
        <w:rPr>
          <w:i/>
        </w:rPr>
        <w:t>A</w:t>
      </w:r>
      <w:r w:rsidR="00E34F3D" w:rsidRPr="00B366BB">
        <w:rPr>
          <w:i/>
        </w:rPr>
        <w:t xml:space="preserve">ssistance, </w:t>
      </w:r>
      <w:r w:rsidR="00E34F3D">
        <w:rPr>
          <w:i/>
        </w:rPr>
        <w:t>G</w:t>
      </w:r>
      <w:r w:rsidR="00E34F3D" w:rsidRPr="00B366BB">
        <w:rPr>
          <w:i/>
        </w:rPr>
        <w:t xml:space="preserve">ood </w:t>
      </w:r>
      <w:r w:rsidR="00E34F3D">
        <w:rPr>
          <w:i/>
        </w:rPr>
        <w:t>S</w:t>
      </w:r>
      <w:r w:rsidR="00E34F3D" w:rsidRPr="00B366BB">
        <w:rPr>
          <w:i/>
        </w:rPr>
        <w:t xml:space="preserve">port, </w:t>
      </w:r>
      <w:r w:rsidR="00E34F3D">
        <w:rPr>
          <w:i/>
        </w:rPr>
        <w:t>S</w:t>
      </w:r>
      <w:r w:rsidR="00E34F3D" w:rsidRPr="00B366BB">
        <w:rPr>
          <w:i/>
        </w:rPr>
        <w:t xml:space="preserve">tands up for </w:t>
      </w:r>
      <w:r w:rsidR="00E34F3D">
        <w:rPr>
          <w:i/>
        </w:rPr>
        <w:t>O</w:t>
      </w:r>
      <w:r w:rsidR="00E34F3D" w:rsidRPr="00B366BB">
        <w:rPr>
          <w:i/>
        </w:rPr>
        <w:t xml:space="preserve">thers, </w:t>
      </w:r>
      <w:r w:rsidR="00E34F3D">
        <w:rPr>
          <w:i/>
        </w:rPr>
        <w:t>K</w:t>
      </w:r>
      <w:r w:rsidR="00E34F3D" w:rsidRPr="00B366BB">
        <w:rPr>
          <w:i/>
        </w:rPr>
        <w:t xml:space="preserve">eeps Confidences, and </w:t>
      </w:r>
      <w:r w:rsidR="00E34F3D">
        <w:rPr>
          <w:i/>
        </w:rPr>
        <w:t>C</w:t>
      </w:r>
      <w:r w:rsidR="00E34F3D" w:rsidRPr="00B366BB">
        <w:rPr>
          <w:i/>
        </w:rPr>
        <w:t xml:space="preserve">onfronts </w:t>
      </w:r>
      <w:r w:rsidR="00E34F3D">
        <w:rPr>
          <w:i/>
        </w:rPr>
        <w:t>O</w:t>
      </w:r>
      <w:r w:rsidR="00E34F3D" w:rsidRPr="00B366BB">
        <w:rPr>
          <w:i/>
        </w:rPr>
        <w:t xml:space="preserve">thers </w:t>
      </w:r>
      <w:r w:rsidR="00E34F3D">
        <w:rPr>
          <w:i/>
        </w:rPr>
        <w:t>W</w:t>
      </w:r>
      <w:r w:rsidR="00E34F3D" w:rsidRPr="00B366BB">
        <w:rPr>
          <w:i/>
        </w:rPr>
        <w:t xml:space="preserve">hen </w:t>
      </w:r>
      <w:r w:rsidR="00E34F3D">
        <w:rPr>
          <w:i/>
        </w:rPr>
        <w:t>W</w:t>
      </w:r>
      <w:r w:rsidR="00E34F3D" w:rsidRPr="00B366BB">
        <w:rPr>
          <w:i/>
        </w:rPr>
        <w:t>rong</w:t>
      </w:r>
      <w:r w:rsidR="00D76FE6">
        <w:t>)</w:t>
      </w:r>
      <w:r>
        <w:t xml:space="preserve"> loaded onto a 2</w:t>
      </w:r>
      <w:r w:rsidRPr="00935F5A">
        <w:rPr>
          <w:vertAlign w:val="superscript"/>
        </w:rPr>
        <w:t>nd</w:t>
      </w:r>
      <w:r>
        <w:t>, masculine component</w:t>
      </w:r>
      <w:r w:rsidR="00B06E84">
        <w:t xml:space="preserve">.  </w:t>
      </w:r>
      <w:r w:rsidR="00B84A05">
        <w:t>All</w:t>
      </w:r>
      <w:r w:rsidR="00D76FE6">
        <w:t xml:space="preserve"> of these behaviours share characteristics representative of the male gender role</w:t>
      </w:r>
      <w:r w:rsidR="00F51DF5">
        <w:t>,</w:t>
      </w:r>
      <w:r w:rsidR="00D76FE6">
        <w:t xml:space="preserve"> such as</w:t>
      </w:r>
      <w:r w:rsidR="00F26019">
        <w:t>:</w:t>
      </w:r>
      <w:r w:rsidR="00D76FE6">
        <w:t xml:space="preserve"> being direct, involving physicality, involving dominance or competitive behaviour, or involving interaction in large group settings</w:t>
      </w:r>
      <w:r w:rsidR="00B06E84">
        <w:t xml:space="preserve">.  </w:t>
      </w:r>
      <w:r w:rsidR="00120F87">
        <w:t xml:space="preserve">These </w:t>
      </w:r>
      <w:r w:rsidR="00B84A05">
        <w:t xml:space="preserve">findings indicate that some prosocial </w:t>
      </w:r>
      <w:proofErr w:type="gramStart"/>
      <w:r w:rsidR="00B84A05">
        <w:t>behaviours</w:t>
      </w:r>
      <w:proofErr w:type="gramEnd"/>
      <w:r w:rsidR="00B84A05">
        <w:t xml:space="preserve"> are perceived to be masculine in childhood an</w:t>
      </w:r>
      <w:r w:rsidR="009A344A">
        <w:t>d</w:t>
      </w:r>
      <w:r w:rsidR="00B84A05">
        <w:t xml:space="preserve"> adolescence</w:t>
      </w:r>
      <w:r w:rsidR="00B06E84">
        <w:t xml:space="preserve">.  </w:t>
      </w:r>
      <w:r w:rsidR="00B84A05">
        <w:t>This is similar to the gender-typing of prosocial behaviours observed in adulthood</w:t>
      </w:r>
      <w:r w:rsidR="00120F87">
        <w:t xml:space="preserve"> </w:t>
      </w:r>
      <w:r w:rsidR="00120F87">
        <w:fldChar w:fldCharType="begin"/>
      </w:r>
      <w:r w:rsidR="00F94F8C">
        <w:instrText xml:space="preserve"> ADDIN EN.CITE &lt;EndNote&gt;&lt;Cite&gt;&lt;Author&gt;Eagly&lt;/Author&gt;&lt;Year&gt;2009&lt;/Year&gt;&lt;RecNum&gt;105&lt;/RecNum&gt;&lt;DisplayText&gt;(Eagly, 2009)&lt;/DisplayText&gt;&lt;record&gt;&lt;rec-number&gt;105&lt;/rec-number&gt;&lt;foreign-keys&gt;&lt;key app="EN" db-id="f5p9zd5zqsratqef5sv5pz2wpve092vrdw52"&gt;105&lt;/key&gt;&lt;/foreign-keys&gt;&lt;ref-type name="Journal Article"&gt;17&lt;/ref-type&gt;&lt;contributors&gt;&lt;authors&gt;&lt;author&gt;Eagly, A. H.&lt;/author&gt;&lt;/authors&gt;&lt;/contributors&gt;&lt;titles&gt;&lt;title&gt;The His and Hers of Prosocial Behavior: An Examination of the Social Psychology of Gender&lt;/title&gt;&lt;secondary-title&gt;American Psychologist&lt;/secondary-title&gt;&lt;/titles&gt;&lt;periodical&gt;&lt;full-title&gt;American Psychologist&lt;/full-title&gt;&lt;/periodical&gt;&lt;pages&gt;644-658&lt;/pages&gt;&lt;volume&gt;64&lt;/volume&gt;&lt;dates&gt;&lt;year&gt;2009&lt;/year&gt;&lt;/dates&gt;&lt;urls&gt;&lt;/urls&gt;&lt;electronic-resource-num&gt;10.1037/0003-066X.64.8644&lt;/electronic-resource-num&gt;&lt;/record&gt;&lt;/Cite&gt;&lt;/EndNote&gt;</w:instrText>
      </w:r>
      <w:r w:rsidR="00120F87">
        <w:fldChar w:fldCharType="separate"/>
      </w:r>
      <w:r w:rsidR="00120F87">
        <w:rPr>
          <w:noProof/>
        </w:rPr>
        <w:t>(</w:t>
      </w:r>
      <w:hyperlink w:anchor="_ENREF_8" w:tooltip="Eagly, 2009 #105" w:history="1">
        <w:r w:rsidR="00930389">
          <w:rPr>
            <w:noProof/>
          </w:rPr>
          <w:t>Eagly, 2009</w:t>
        </w:r>
      </w:hyperlink>
      <w:r w:rsidR="00120F87">
        <w:rPr>
          <w:noProof/>
        </w:rPr>
        <w:t>)</w:t>
      </w:r>
      <w:r w:rsidR="00120F87">
        <w:fldChar w:fldCharType="end"/>
      </w:r>
      <w:r w:rsidR="00120F87">
        <w:t xml:space="preserve"> and is in direct contrast to previous research suggesting that prosociality is consistently female-typed</w:t>
      </w:r>
      <w:r w:rsidR="00106C72">
        <w:t xml:space="preserve"> across this age range</w:t>
      </w:r>
      <w:r w:rsidR="00120F87">
        <w:t xml:space="preserve"> </w:t>
      </w:r>
      <w:r w:rsidR="00120F87">
        <w:fldChar w:fldCharType="begin"/>
      </w:r>
      <w:r w:rsidR="00120F87">
        <w:instrText xml:space="preserve"> ADDIN EN.CITE &lt;EndNote&gt;&lt;Cite&gt;&lt;Author&gt;Eisenberg&lt;/Author&gt;&lt;Year&gt;2006&lt;/Year&gt;&lt;RecNum&gt;229&lt;/RecNum&gt;&lt;DisplayText&gt;(Eisenberg, et al., 2006; Hine &amp;amp; Leman, 2013)&lt;/DisplayText&gt;&lt;record&gt;&lt;rec-number&gt;229&lt;/rec-number&gt;&lt;foreign-keys&gt;&lt;key app="EN" db-id="f5p9zd5zqsratqef5sv5pz2wpve092vrdw52"&gt;229&lt;/key&gt;&lt;/foreign-keys&gt;&lt;ref-type name="Book Section"&gt;5&lt;/ref-type&gt;&lt;contributors&gt;&lt;authors&gt;&lt;author&gt;Eisenberg, N.&lt;/author&gt;&lt;author&gt;Fabes, R. A.&lt;/author&gt;&lt;author&gt;Spinrad, T. L.&lt;/author&gt;&lt;/authors&gt;&lt;secondary-authors&gt;&lt;author&gt;Eisenberg, N.&lt;/author&gt;&lt;/secondary-authors&gt;&lt;tertiary-authors&gt;&lt;author&gt;Damon, W.&lt;/author&gt;&lt;/tertiary-authors&gt;&lt;/contributors&gt;&lt;titles&gt;&lt;title&gt;Prosocial Development&lt;/title&gt;&lt;secondary-title&gt;Handbook of Child Psychology, Vol 3: Social, Emotional, and Personality Development&lt;/secondary-title&gt;&lt;/titles&gt;&lt;pages&gt;646-718&lt;/pages&gt;&lt;number&gt;6&lt;/number&gt;&lt;dates&gt;&lt;year&gt;2006&lt;/year&gt;&lt;/dates&gt;&lt;urls&gt;&lt;/urls&gt;&lt;/record&gt;&lt;/Cite&gt;&lt;Cite&gt;&lt;Author&gt;Hine&lt;/Author&gt;&lt;Year&gt;2013&lt;/Year&gt;&lt;RecNum&gt;288&lt;/RecNum&gt;&lt;record&gt;&lt;rec-number&gt;288&lt;/rec-number&gt;&lt;foreign-keys&gt;&lt;key app="EN" db-id="f5p9zd5zqsratqef5sv5pz2wpve092vrdw52"&gt;288&lt;/key&gt;&lt;/foreign-keys&gt;&lt;ref-type name="Book Section"&gt;5&lt;/ref-type&gt;&lt;contributors&gt;&lt;authors&gt;&lt;author&gt;Hine, B.&lt;/author&gt;&lt;author&gt;Leman, P. J.&lt;/author&gt;&lt;/authors&gt;&lt;secondary-authors&gt;&lt;author&gt;P. J. Leman&lt;/author&gt;&lt;author&gt;H. Tenenbaum&lt;/author&gt;&lt;/secondary-authors&gt;&lt;/contributors&gt;&lt;titles&gt;&lt;title&gt;The Developing Relationship between Gender and Prosocial Behavior&lt;/title&gt;&lt;secondary-title&gt;Gender and Development&lt;/secondary-title&gt;&lt;/titles&gt;&lt;dates&gt;&lt;year&gt;2013&lt;/year&gt;&lt;/dates&gt;&lt;pub-location&gt;Hove&lt;/pub-location&gt;&lt;publisher&gt;Psychology Press&lt;/publisher&gt;&lt;urls&gt;&lt;/urls&gt;&lt;/record&gt;&lt;/Cite&gt;&lt;/EndNote&gt;</w:instrText>
      </w:r>
      <w:r w:rsidR="00120F87">
        <w:fldChar w:fldCharType="separate"/>
      </w:r>
      <w:r w:rsidR="00120F87">
        <w:rPr>
          <w:noProof/>
        </w:rPr>
        <w:t>(</w:t>
      </w:r>
      <w:hyperlink w:anchor="_ENREF_10" w:tooltip="Eisenberg, 2006 #229" w:history="1">
        <w:r w:rsidR="00930389">
          <w:rPr>
            <w:noProof/>
          </w:rPr>
          <w:t>Eisenberg, et al., 2006</w:t>
        </w:r>
      </w:hyperlink>
      <w:r w:rsidR="00120F87">
        <w:rPr>
          <w:noProof/>
        </w:rPr>
        <w:t xml:space="preserve">; </w:t>
      </w:r>
      <w:hyperlink w:anchor="_ENREF_21" w:tooltip="Hine, 2013 #288" w:history="1">
        <w:r w:rsidR="00930389">
          <w:rPr>
            <w:noProof/>
          </w:rPr>
          <w:t>Hine &amp; Leman, 2013</w:t>
        </w:r>
      </w:hyperlink>
      <w:r w:rsidR="00120F87">
        <w:rPr>
          <w:noProof/>
        </w:rPr>
        <w:t>)</w:t>
      </w:r>
      <w:r w:rsidR="00120F87">
        <w:fldChar w:fldCharType="end"/>
      </w:r>
      <w:r w:rsidR="00120F87">
        <w:t>.</w:t>
      </w:r>
      <w:r w:rsidR="000D5186">
        <w:t xml:space="preserve"> This is an important finding, as the acknowledgement by children and adolescents of male-typed prosocial behaviours may allow for some element of freedom for boys to express positive moral acts, whilst still presenting as congruent with the expected behaviour of their gender.</w:t>
      </w:r>
    </w:p>
    <w:p w:rsidR="00B24582" w:rsidRDefault="00D76FE6" w:rsidP="00612B8A">
      <w:pPr>
        <w:spacing w:after="120"/>
        <w:contextualSpacing/>
      </w:pPr>
      <w:r>
        <w:tab/>
      </w:r>
      <w:r w:rsidR="00114778">
        <w:t xml:space="preserve">Notably, there was a </w:t>
      </w:r>
      <w:r w:rsidR="00F26019" w:rsidRPr="00F26019">
        <w:t xml:space="preserve">strong loading of </w:t>
      </w:r>
      <w:r w:rsidR="00B366BB">
        <w:rPr>
          <w:i/>
        </w:rPr>
        <w:t>Humour</w:t>
      </w:r>
      <w:r w:rsidR="00F26019" w:rsidRPr="00F26019">
        <w:t xml:space="preserve"> onto the second masculine component</w:t>
      </w:r>
      <w:r w:rsidR="00B06E84">
        <w:t xml:space="preserve">.  </w:t>
      </w:r>
      <w:r w:rsidR="00F26019" w:rsidRPr="00F26019">
        <w:t xml:space="preserve">Humour has been linked to peer acceptance, likeability, and perceived social competence in children aged 4-7 years </w:t>
      </w:r>
      <w:r w:rsidR="00F26019" w:rsidRPr="00F26019">
        <w:fldChar w:fldCharType="begin"/>
      </w:r>
      <w:r w:rsidR="00F94F8C">
        <w:instrText xml:space="preserve"> ADDIN EN.CITE &lt;EndNote&gt;&lt;Cite&gt;&lt;Author&gt;Sletta&lt;/Author&gt;&lt;Year&gt;1995&lt;/Year&gt;&lt;RecNum&gt;550&lt;/RecNum&gt;&lt;DisplayText&gt;(Sletta, Søbstad, &amp;amp; Valås, 1995)&lt;/DisplayText&gt;&lt;record&gt;&lt;rec-number&gt;550&lt;/rec-number&gt;&lt;foreign-keys&gt;&lt;key app="EN" db-id="f5p9zd5zqsratqef5sv5pz2wpve092vrdw52"&gt;550&lt;/key&gt;&lt;/foreign-keys&gt;&lt;ref-type name="Journal Article"&gt;17&lt;/ref-type&gt;&lt;contributors&gt;&lt;authors&gt;&lt;author&gt;Sletta, O.&lt;/author&gt;&lt;author&gt;Søbstad, F.&lt;/author&gt;&lt;author&gt;Valås, H.&lt;/author&gt;&lt;/authors&gt;&lt;/contributors&gt;&lt;titles&gt;&lt;title&gt;Humour, peer acceptance and perceived social competence in preschool and school-aged children&lt;/title&gt;&lt;secondary-title&gt;British Journal of Educational Psychology&lt;/secondary-title&gt;&lt;/titles&gt;&lt;periodical&gt;&lt;full-title&gt;British Journal of Educational Psychology&lt;/full-title&gt;&lt;/periodical&gt;&lt;pages&gt;179-195&lt;/pages&gt;&lt;volume&gt;65&lt;/volume&gt;&lt;dates&gt;&lt;year&gt;1995&lt;/year&gt;&lt;/dates&gt;&lt;urls&gt;&lt;/urls&gt;&lt;electronic-resource-num&gt;10.1111/j.2044-8279.1995.1b01141.x&lt;/electronic-resource-num&gt;&lt;/record&gt;&lt;/Cite&gt;&lt;/EndNote&gt;</w:instrText>
      </w:r>
      <w:r w:rsidR="00F26019" w:rsidRPr="00F26019">
        <w:fldChar w:fldCharType="separate"/>
      </w:r>
      <w:r w:rsidR="00F26019" w:rsidRPr="00F26019">
        <w:rPr>
          <w:noProof/>
        </w:rPr>
        <w:t>(</w:t>
      </w:r>
      <w:hyperlink w:anchor="_ENREF_34" w:tooltip="Sletta, 1995 #550" w:history="1">
        <w:r w:rsidR="00930389" w:rsidRPr="00F26019">
          <w:rPr>
            <w:noProof/>
          </w:rPr>
          <w:t>Sletta, Søbstad, &amp; Valås, 1995</w:t>
        </w:r>
      </w:hyperlink>
      <w:r w:rsidR="00F26019" w:rsidRPr="00F26019">
        <w:rPr>
          <w:noProof/>
        </w:rPr>
        <w:t>)</w:t>
      </w:r>
      <w:r w:rsidR="00F26019" w:rsidRPr="00F26019">
        <w:fldChar w:fldCharType="end"/>
      </w:r>
      <w:r w:rsidR="00F26019" w:rsidRPr="00F26019">
        <w:t xml:space="preserve"> and may be a form of prosociality in that it encourages positive social interaction</w:t>
      </w:r>
      <w:r w:rsidR="00B06E84">
        <w:t xml:space="preserve">.  </w:t>
      </w:r>
      <w:r w:rsidR="00822BEA">
        <w:t xml:space="preserve">Boys in particular have been shown to use humour to gain status </w:t>
      </w:r>
      <w:r w:rsidR="00822BEA">
        <w:fldChar w:fldCharType="begin"/>
      </w:r>
      <w:r w:rsidR="00822BEA">
        <w:instrText xml:space="preserve"> ADDIN EN.CITE &lt;EndNote&gt;&lt;Cite&gt;&lt;Author&gt;Huuki&lt;/Author&gt;&lt;Year&gt;2010&lt;/Year&gt;&lt;RecNum&gt;546&lt;/RecNum&gt;&lt;DisplayText&gt;(Huuki, Manninen, &amp;amp; Sunnari, 2010)&lt;/DisplayText&gt;&lt;record&gt;&lt;rec-number&gt;546&lt;/rec-number&gt;&lt;foreign-keys&gt;&lt;key app="EN" db-id="f5p9zd5zqsratqef5sv5pz2wpve092vrdw52"&gt;546&lt;/key&gt;&lt;/foreign-keys&gt;&lt;ref-type name="Journal Article"&gt;17&lt;/ref-type&gt;&lt;contributors&gt;&lt;authors&gt;&lt;author&gt;Huuki, T.&lt;/author&gt;&lt;author&gt;Manninen, S.&lt;/author&gt;&lt;author&gt;Sunnari, V.&lt;/author&gt;&lt;/authors&gt;&lt;/contributors&gt;&lt;titles&gt;&lt;title&gt;Humour as a resource and strategy for boys to gain status in the field of informal school&lt;/title&gt;&lt;secondary-title&gt;Gender and Education&lt;/secondary-title&gt;&lt;/titles&gt;&lt;periodical&gt;&lt;full-title&gt;Gender and Education&lt;/full-title&gt;&lt;/periodical&gt;&lt;pages&gt;369-383&lt;/pages&gt;&lt;volume&gt;22&lt;/volume&gt;&lt;dates&gt;&lt;year&gt;2010&lt;/year&gt;&lt;/dates&gt;&lt;urls&gt;&lt;/urls&gt;&lt;electronic-resource-num&gt;10.1080/09540250903352317&lt;/electronic-resource-num&gt;&lt;/record&gt;&lt;/Cite&gt;&lt;/EndNote&gt;</w:instrText>
      </w:r>
      <w:r w:rsidR="00822BEA">
        <w:fldChar w:fldCharType="separate"/>
      </w:r>
      <w:r w:rsidR="00822BEA">
        <w:rPr>
          <w:noProof/>
        </w:rPr>
        <w:t>(</w:t>
      </w:r>
      <w:hyperlink w:anchor="_ENREF_24" w:tooltip="Huuki, 2010 #546" w:history="1">
        <w:r w:rsidR="00930389">
          <w:rPr>
            <w:noProof/>
          </w:rPr>
          <w:t>Huuki, Manninen, &amp; Sunnari, 2010</w:t>
        </w:r>
      </w:hyperlink>
      <w:r w:rsidR="00822BEA">
        <w:rPr>
          <w:noProof/>
        </w:rPr>
        <w:t>)</w:t>
      </w:r>
      <w:r w:rsidR="00822BEA">
        <w:fldChar w:fldCharType="end"/>
      </w:r>
      <w:r w:rsidR="00822BEA">
        <w:t xml:space="preserve"> and power in social groups </w:t>
      </w:r>
      <w:r w:rsidR="00822BEA">
        <w:fldChar w:fldCharType="begin"/>
      </w:r>
      <w:r w:rsidR="00822BEA">
        <w:instrText xml:space="preserve"> ADDIN EN.CITE &lt;EndNote&gt;&lt;Cite&gt;&lt;Author&gt;Hobday-Kusch&lt;/Author&gt;&lt;Year&gt;2002&lt;/Year&gt;&lt;RecNum&gt;547&lt;/RecNum&gt;&lt;DisplayText&gt;(Hobday-Kusch &amp;amp; McVittie, 2002)&lt;/DisplayText&gt;&lt;record&gt;&lt;rec-number&gt;547&lt;/rec-number&gt;&lt;foreign-keys&gt;&lt;key app="EN" db-id="f5p9zd5zqsratqef5sv5pz2wpve092vrdw52"&gt;547&lt;/key&gt;&lt;/foreign-keys&gt;&lt;ref-type name="Journal Article"&gt;17&lt;/ref-type&gt;&lt;contributors&gt;&lt;authors&gt;&lt;author&gt;Hobday-Kusch, J.&lt;/author&gt;&lt;author&gt;McVittie, J.&lt;/author&gt;&lt;/authors&gt;&lt;/contributors&gt;&lt;titles&gt;&lt;title&gt;Just Clowning around: Classroom Persepctives on Children&amp;apos;s Humour&lt;/title&gt;&lt;secondary-title&gt;Canadian Journal of Education/Revue canadienne de l&amp;apos;éducation&lt;/secondary-title&gt;&lt;/titles&gt;&lt;periodical&gt;&lt;full-title&gt;Canadian Journal of Education/Revue canadienne de l&amp;apos;éducation&lt;/full-title&gt;&lt;/periodical&gt;&lt;pages&gt;195-210&lt;/pages&gt;&lt;volume&gt;27&lt;/volume&gt;&lt;dates&gt;&lt;year&gt;2002&lt;/year&gt;&lt;/dates&gt;&lt;urls&gt;&lt;/urls&gt;&lt;electronic-resource-num&gt;10.2307/1602220&lt;/electronic-resource-num&gt;&lt;/record&gt;&lt;/Cite&gt;&lt;/EndNote&gt;</w:instrText>
      </w:r>
      <w:r w:rsidR="00822BEA">
        <w:fldChar w:fldCharType="separate"/>
      </w:r>
      <w:r w:rsidR="00822BEA">
        <w:rPr>
          <w:noProof/>
        </w:rPr>
        <w:t>(</w:t>
      </w:r>
      <w:hyperlink w:anchor="_ENREF_22" w:tooltip="Hobday-Kusch, 2002 #547" w:history="1">
        <w:r w:rsidR="00930389">
          <w:rPr>
            <w:noProof/>
          </w:rPr>
          <w:t>Hobday-Kusch &amp; McVittie, 2002</w:t>
        </w:r>
      </w:hyperlink>
      <w:r w:rsidR="00822BEA">
        <w:rPr>
          <w:noProof/>
        </w:rPr>
        <w:t>)</w:t>
      </w:r>
      <w:r w:rsidR="00822BEA">
        <w:fldChar w:fldCharType="end"/>
      </w:r>
      <w:r w:rsidR="00822BEA">
        <w:t xml:space="preserve"> and </w:t>
      </w:r>
      <w:r w:rsidR="00D06886">
        <w:t>h</w:t>
      </w:r>
      <w:r w:rsidR="00D06886" w:rsidRPr="00F26019">
        <w:t xml:space="preserve">umour </w:t>
      </w:r>
      <w:r w:rsidR="00D06886">
        <w:t>is</w:t>
      </w:r>
      <w:r w:rsidR="00D06886" w:rsidRPr="00F26019">
        <w:t xml:space="preserve"> included in sets of characteristics used to describe a boy as ‘popular-prosocial’ </w:t>
      </w:r>
      <w:r w:rsidR="00D06886" w:rsidRPr="00F26019">
        <w:fldChar w:fldCharType="begin"/>
      </w:r>
      <w:r w:rsidR="00D06886">
        <w:instrText xml:space="preserve"> ADDIN EN.CITE &lt;EndNote&gt;&lt;Cite&gt;&lt;Author&gt;de Bruyn&lt;/Author&gt;&lt;Year&gt;2006&lt;/Year&gt;&lt;RecNum&gt;549&lt;/RecNum&gt;&lt;DisplayText&gt;(de Bruyn &amp;amp; Cillessen, 2006)&lt;/DisplayText&gt;&lt;record&gt;&lt;rec-number&gt;549&lt;/rec-number&gt;&lt;foreign-keys&gt;&lt;key app="EN" db-id="f5p9zd5zqsratqef5sv5pz2wpve092vrdw52"&gt;549&lt;/key&gt;&lt;/foreign-keys&gt;&lt;ref-type name="Journal Article"&gt;17&lt;/ref-type&gt;&lt;contributors&gt;&lt;authors&gt;&lt;author&gt;de Bruyn, E. H.&lt;/author&gt;&lt;author&gt;Cillessen, A. H. N.&lt;/author&gt;&lt;/authors&gt;&lt;/contributors&gt;&lt;titles&gt;&lt;title&gt;Popularity in early Adolescence: Prosocial and Antisocial Subtypes&lt;/title&gt;&lt;secondary-title&gt;Journal of Adolescent Research&lt;/secondary-title&gt;&lt;/titles&gt;&lt;periodical&gt;&lt;full-title&gt;Journal of Adolescent Research&lt;/full-title&gt;&lt;/periodical&gt;&lt;pages&gt;607-627&lt;/pages&gt;&lt;volume&gt;21&lt;/volume&gt;&lt;dates&gt;&lt;year&gt;2006&lt;/year&gt;&lt;/dates&gt;&lt;urls&gt;&lt;/urls&gt;&lt;electronic-resource-num&gt;10.1177/0743558406293966&lt;/electronic-resource-num&gt;&lt;/record&gt;&lt;/Cite&gt;&lt;/EndNote&gt;</w:instrText>
      </w:r>
      <w:r w:rsidR="00D06886" w:rsidRPr="00F26019">
        <w:fldChar w:fldCharType="separate"/>
      </w:r>
      <w:r w:rsidR="00D06886">
        <w:rPr>
          <w:noProof/>
        </w:rPr>
        <w:t>(</w:t>
      </w:r>
      <w:hyperlink w:anchor="_ENREF_6" w:tooltip="de Bruyn, 2006 #549" w:history="1">
        <w:r w:rsidR="00930389">
          <w:rPr>
            <w:noProof/>
          </w:rPr>
          <w:t>de Bruyn &amp; Cillessen, 2006</w:t>
        </w:r>
      </w:hyperlink>
      <w:r w:rsidR="00D06886">
        <w:rPr>
          <w:noProof/>
        </w:rPr>
        <w:t>)</w:t>
      </w:r>
      <w:r w:rsidR="00D06886" w:rsidRPr="00F26019">
        <w:fldChar w:fldCharType="end"/>
      </w:r>
      <w:r w:rsidR="00D06886">
        <w:t>.  However, as with some other</w:t>
      </w:r>
      <w:r w:rsidR="00B366BB">
        <w:t xml:space="preserve"> items used in this study (e.g., </w:t>
      </w:r>
      <w:r w:rsidR="00B366BB">
        <w:rPr>
          <w:i/>
        </w:rPr>
        <w:t xml:space="preserve">Confronts </w:t>
      </w:r>
      <w:proofErr w:type="gramStart"/>
      <w:r w:rsidR="00B366BB">
        <w:rPr>
          <w:i/>
        </w:rPr>
        <w:t>Others</w:t>
      </w:r>
      <w:proofErr w:type="gramEnd"/>
      <w:r w:rsidR="00B366BB">
        <w:rPr>
          <w:i/>
        </w:rPr>
        <w:t xml:space="preserve"> when Wrong</w:t>
      </w:r>
      <w:r w:rsidR="00D06886">
        <w:t xml:space="preserve">), humour </w:t>
      </w:r>
      <w:r w:rsidR="00822BEA">
        <w:t xml:space="preserve">could </w:t>
      </w:r>
      <w:r w:rsidR="00D06886">
        <w:t>be</w:t>
      </w:r>
      <w:r w:rsidR="00822BEA">
        <w:t xml:space="preserve"> equally</w:t>
      </w:r>
      <w:r w:rsidR="00D06886">
        <w:t xml:space="preserve"> interpreted as antisocial behaviour.  </w:t>
      </w:r>
      <w:r w:rsidR="00822BEA">
        <w:t>For example</w:t>
      </w:r>
      <w:r w:rsidR="0067033A">
        <w:t>, social assertiveness (typically important in group dynamics for boys; Savin-William</w:t>
      </w:r>
      <w:r w:rsidR="0067033A">
        <w:fldChar w:fldCharType="begin"/>
      </w:r>
      <w:r w:rsidR="00D77B05">
        <w:instrText xml:space="preserve"> ADDIN EN.CITE &lt;EndNote&gt;&lt;Cite ExcludeAuth="1" ExcludeYear="1"&gt;&lt;Author&gt;Savin-Williams&lt;/Author&gt;&lt;Year&gt;1979&lt;/Year&gt;&lt;RecNum&gt;775&lt;/RecNum&gt;&lt;record&gt;&lt;rec-number&gt;775&lt;/rec-number&gt;&lt;foreign-keys&gt;&lt;key app="EN" db-id="f5p9zd5zqsratqef5sv5pz2wpve092vrdw52"&gt;775&lt;/key&gt;&lt;/foreign-keys&gt;&lt;ref-type name="Journal Article"&gt;17&lt;/ref-type&gt;&lt;contributors&gt;&lt;authors&gt;&lt;author&gt;Savin-Williams, R. C.&lt;/author&gt;&lt;/authors&gt;&lt;/contributors&gt;&lt;titles&gt;&lt;title&gt;Dominance Hierarchies in Groups of Early Adolescents&lt;/title&gt;&lt;secondary-title&gt;Child Development&lt;/secondary-title&gt;&lt;/titles&gt;&lt;periodical&gt;&lt;full-title&gt;Child Development&lt;/full-title&gt;&lt;/periodical&gt;&lt;pages&gt;923-935&lt;/pages&gt;&lt;volume&gt;50&lt;/volume&gt;&lt;dates&gt;&lt;year&gt;1979&lt;/year&gt;&lt;/dates&gt;&lt;urls&gt;&lt;/urls&gt;&lt;electronic-resource-num&gt;10.2307/1129316&lt;/electronic-resource-num&gt;&lt;/record&gt;&lt;/Cite&gt;&lt;/EndNote&gt;</w:instrText>
      </w:r>
      <w:r w:rsidR="0067033A">
        <w:fldChar w:fldCharType="end"/>
      </w:r>
      <w:r w:rsidR="0067033A">
        <w:t xml:space="preserve">s, 1979) has been shown to be a strong predictor of humour in young adults </w:t>
      </w:r>
      <w:r w:rsidR="004A1003">
        <w:fldChar w:fldCharType="begin"/>
      </w:r>
      <w:r w:rsidR="00D77B05">
        <w:instrText xml:space="preserve"> ADDIN EN.CITE &lt;EndNote&gt;&lt;Cite&gt;&lt;Author&gt;Bell&lt;/Author&gt;&lt;Year&gt;1986&lt;/Year&gt;&lt;RecNum&gt;776&lt;/RecNum&gt;&lt;DisplayText&gt;(Bell, McGhee, &amp;amp; Duffey, 1986)&lt;/DisplayText&gt;&lt;record&gt;&lt;rec-number&gt;776&lt;/rec-number&gt;&lt;foreign-keys&gt;&lt;key app="EN" db-id="f5p9zd5zqsratqef5sv5pz2wpve092vrdw52"&gt;776&lt;/key&gt;&lt;/foreign-keys&gt;&lt;ref-type name="Journal Article"&gt;17&lt;/ref-type&gt;&lt;contributors&gt;&lt;authors&gt;&lt;author&gt;Bell, N. J.&lt;/author&gt;&lt;author&gt;McGhee, P. E.&lt;/author&gt;&lt;author&gt;Duffey, N. S.&lt;/author&gt;&lt;/authors&gt;&lt;/contributors&gt;&lt;titles&gt;&lt;title&gt;Interpersonal competence, social assertiveness and the development of humour&lt;/title&gt;&lt;secondary-title&gt;British Journal of Developmental Psychology&lt;/secondary-title&gt;&lt;/titles&gt;&lt;periodical&gt;&lt;full-title&gt;British Journal of Developmental Psychology&lt;/full-title&gt;&lt;/periodical&gt;&lt;pages&gt;51-55&lt;/pages&gt;&lt;volume&gt;4&lt;/volume&gt;&lt;dates&gt;&lt;year&gt;1986&lt;/year&gt;&lt;/dates&gt;&lt;urls&gt;&lt;/urls&gt;&lt;electronic-resource-num&gt;10.1111/j.2044-835X.1986.tb00997.x&lt;/electronic-resource-num&gt;&lt;/record&gt;&lt;/Cite&gt;&lt;/EndNote&gt;</w:instrText>
      </w:r>
      <w:r w:rsidR="004A1003">
        <w:fldChar w:fldCharType="separate"/>
      </w:r>
      <w:r w:rsidR="004A1003">
        <w:rPr>
          <w:noProof/>
        </w:rPr>
        <w:t>(</w:t>
      </w:r>
      <w:hyperlink w:anchor="_ENREF_4" w:tooltip="Bell, 1986 #776" w:history="1">
        <w:r w:rsidR="00930389">
          <w:rPr>
            <w:noProof/>
          </w:rPr>
          <w:t>Bell, McGhee, &amp; Duffey, 1986</w:t>
        </w:r>
      </w:hyperlink>
      <w:r w:rsidR="004A1003">
        <w:rPr>
          <w:noProof/>
        </w:rPr>
        <w:t>)</w:t>
      </w:r>
      <w:r w:rsidR="004A1003">
        <w:fldChar w:fldCharType="end"/>
      </w:r>
      <w:r w:rsidR="004A1003">
        <w:t xml:space="preserve">.  </w:t>
      </w:r>
      <w:r w:rsidR="00537499">
        <w:t>Boys may therefore use humour for positive gains, but these interactions may not necessarily be positive</w:t>
      </w:r>
      <w:r w:rsidR="00BC7C84">
        <w:t xml:space="preserve"> in and of themselves</w:t>
      </w:r>
      <w:r w:rsidR="00537499">
        <w:t xml:space="preserve">.  </w:t>
      </w:r>
      <w:r w:rsidR="004A1003">
        <w:t xml:space="preserve">However, the findings from this study suggest that </w:t>
      </w:r>
      <w:r w:rsidR="00F26019" w:rsidRPr="00F26019">
        <w:t xml:space="preserve">boys </w:t>
      </w:r>
      <w:r w:rsidR="00B24582">
        <w:t xml:space="preserve">may </w:t>
      </w:r>
      <w:r w:rsidR="00B24582" w:rsidRPr="00F26019">
        <w:t xml:space="preserve">utilise humour </w:t>
      </w:r>
      <w:r w:rsidR="00537499">
        <w:t>to foster</w:t>
      </w:r>
      <w:r w:rsidR="00B24582" w:rsidRPr="00F26019">
        <w:t xml:space="preserve"> positive social interactions with peers </w:t>
      </w:r>
      <w:r w:rsidR="00537499">
        <w:t xml:space="preserve">to a greater extent </w:t>
      </w:r>
      <w:r w:rsidR="00F26019" w:rsidRPr="00F26019">
        <w:t xml:space="preserve">than girls, and that </w:t>
      </w:r>
      <w:r w:rsidR="00537499">
        <w:t xml:space="preserve">using </w:t>
      </w:r>
      <w:r w:rsidR="00F26019" w:rsidRPr="00F26019">
        <w:t>humour (in a prosocial context) is male-typed.</w:t>
      </w:r>
      <w:r w:rsidR="00B24582">
        <w:t xml:space="preserve"> </w:t>
      </w:r>
    </w:p>
    <w:p w:rsidR="00DD151B" w:rsidRDefault="00106C72" w:rsidP="00612B8A">
      <w:pPr>
        <w:spacing w:after="120"/>
        <w:contextualSpacing/>
      </w:pPr>
      <w:r>
        <w:tab/>
        <w:t xml:space="preserve">Some small variations in loading patterns also occurred between different groups. </w:t>
      </w:r>
      <w:r w:rsidR="00B06E84">
        <w:t xml:space="preserve"> </w:t>
      </w:r>
      <w:r>
        <w:t>For example, when looking at age differences, early</w:t>
      </w:r>
      <w:r w:rsidR="009251B3">
        <w:t>-</w:t>
      </w:r>
      <w:r>
        <w:t xml:space="preserve"> to mid-adolescents demonstrated a much clearer distinction between male- and female-typed behaviours than children in late childhood </w:t>
      </w:r>
      <w:r w:rsidR="00D951DE">
        <w:t>or late-adolescence.</w:t>
      </w:r>
      <w:r w:rsidR="00B06E84">
        <w:t xml:space="preserve"> </w:t>
      </w:r>
      <w:r w:rsidR="00C02DA6">
        <w:t xml:space="preserve">Studies suggest that </w:t>
      </w:r>
      <w:r>
        <w:t xml:space="preserve"> </w:t>
      </w:r>
      <w:r w:rsidR="00C02DA6">
        <w:t xml:space="preserve">gender stereotypes </w:t>
      </w:r>
      <w:r>
        <w:t>consolidat</w:t>
      </w:r>
      <w:r w:rsidR="00C02DA6">
        <w:t>e and intensify</w:t>
      </w:r>
      <w:r>
        <w:t xml:space="preserve"> </w:t>
      </w:r>
      <w:r w:rsidR="00C02DA6">
        <w:t xml:space="preserve">at this age </w:t>
      </w:r>
      <w:r>
        <w:fldChar w:fldCharType="begin"/>
      </w:r>
      <w:r w:rsidR="00D77B05">
        <w:instrText xml:space="preserve"> ADDIN EN.CITE &lt;EndNote&gt;&lt;Cite&gt;&lt;Author&gt;Hill&lt;/Author&gt;&lt;Year&gt;1983&lt;/Year&gt;&lt;RecNum&gt;164&lt;/RecNum&gt;&lt;DisplayText&gt;(Galambos, Almedia, &amp;amp; Petersen, 1990; Hill &amp;amp; Lynch, 1983)&lt;/DisplayText&gt;&lt;record&gt;&lt;rec-number&gt;164&lt;/rec-number&gt;&lt;foreign-keys&gt;&lt;key app="EN" db-id="f5p9zd5zqsratqef5sv5pz2wpve092vrdw52"&gt;164&lt;/key&gt;&lt;/foreign-keys&gt;&lt;ref-type name="Book Section"&gt;5&lt;/ref-type&gt;&lt;contributors&gt;&lt;authors&gt;&lt;author&gt;Hill, J. P.&lt;/author&gt;&lt;author&gt;Lynch, M. E.&lt;/author&gt;&lt;/authors&gt;&lt;secondary-authors&gt;&lt;author&gt;J. Brooks-Gunn&lt;/author&gt;&lt;author&gt;A. C. Petersen&lt;/author&gt;&lt;/secondary-authors&gt;&lt;/contributors&gt;&lt;titles&gt;&lt;title&gt;The intensification of gender-related role expectations during early adolescence&lt;/title&gt;&lt;secondary-title&gt;Girls at puberty&lt;/secondary-title&gt;&lt;/titles&gt;&lt;pages&gt;201-228&lt;/pages&gt;&lt;dates&gt;&lt;year&gt;1983&lt;/year&gt;&lt;/dates&gt;&lt;pub-location&gt;New York&lt;/pub-location&gt;&lt;publisher&gt;Plenum Press&lt;/publisher&gt;&lt;urls&gt;&lt;/urls&gt;&lt;/record&gt;&lt;/Cite&gt;&lt;Cite&gt;&lt;Author&gt;Galambos&lt;/Author&gt;&lt;Year&gt;1990&lt;/Year&gt;&lt;RecNum&gt;163&lt;/RecNum&gt;&lt;record&gt;&lt;rec-number&gt;163&lt;/rec-number&gt;&lt;foreign-keys&gt;&lt;key app="EN" db-id="f5p9zd5zqsratqef5sv5pz2wpve092vrdw52"&gt;163&lt;/key&gt;&lt;/foreign-keys&gt;&lt;ref-type name="Journal Article"&gt;17&lt;/ref-type&gt;&lt;contributors&gt;&lt;authors&gt;&lt;author&gt;Galambos, N. L.&lt;/author&gt;&lt;author&gt;Almedia, D. M.&lt;/author&gt;&lt;author&gt;Petersen, A. C.&lt;/author&gt;&lt;/authors&gt;&lt;/contributors&gt;&lt;titles&gt;&lt;title&gt;Masculinity, femininity, and sex role attitudes in early adolescence: Exploring gender intensification&lt;/title&gt;&lt;secondary-title&gt;Child Development&lt;/secondary-title&gt;&lt;/titles&gt;&lt;periodical&gt;&lt;full-title&gt;Child Development&lt;/full-title&gt;&lt;/periodical&gt;&lt;pages&gt;1905-1914&lt;/pages&gt;&lt;volume&gt;61&lt;/volume&gt;&lt;dates&gt;&lt;year&gt;1990&lt;/year&gt;&lt;/dates&gt;&lt;urls&gt;&lt;/urls&gt;&lt;electronic-resource-num&gt;10.1111/j.1467-8624.1990.tb03574.x&lt;/electronic-resource-num&gt;&lt;/record&gt;&lt;/Cite&gt;&lt;/EndNote&gt;</w:instrText>
      </w:r>
      <w:r>
        <w:fldChar w:fldCharType="separate"/>
      </w:r>
      <w:r w:rsidR="00577A5F">
        <w:rPr>
          <w:noProof/>
        </w:rPr>
        <w:t>(</w:t>
      </w:r>
      <w:hyperlink w:anchor="_ENREF_15" w:tooltip="Galambos, 1990 #163" w:history="1">
        <w:r w:rsidR="00930389">
          <w:rPr>
            <w:noProof/>
          </w:rPr>
          <w:t>Galambos, Almedia, &amp; Petersen, 1990</w:t>
        </w:r>
      </w:hyperlink>
      <w:r w:rsidR="00577A5F">
        <w:rPr>
          <w:noProof/>
        </w:rPr>
        <w:t xml:space="preserve">; </w:t>
      </w:r>
      <w:hyperlink w:anchor="_ENREF_20" w:tooltip="Hill, 1983 #164" w:history="1">
        <w:r w:rsidR="00930389">
          <w:rPr>
            <w:noProof/>
          </w:rPr>
          <w:t>Hill &amp; Lynch, 1983</w:t>
        </w:r>
      </w:hyperlink>
      <w:r w:rsidR="00577A5F">
        <w:rPr>
          <w:noProof/>
        </w:rPr>
        <w:t>)</w:t>
      </w:r>
      <w:r>
        <w:fldChar w:fldCharType="end"/>
      </w:r>
      <w:r w:rsidR="009251B3">
        <w:t xml:space="preserve"> and </w:t>
      </w:r>
      <w:r w:rsidR="00C02DA6">
        <w:t>that</w:t>
      </w:r>
      <w:r>
        <w:t xml:space="preserve"> gender </w:t>
      </w:r>
      <w:r w:rsidR="00577A5F">
        <w:t>stereotype flexibility</w:t>
      </w:r>
      <w:r>
        <w:t xml:space="preserve"> </w:t>
      </w:r>
      <w:r w:rsidR="00C02DA6">
        <w:t xml:space="preserve">significantly decreases </w:t>
      </w:r>
      <w:r w:rsidR="00C02DA6">
        <w:fldChar w:fldCharType="begin">
          <w:fldData xml:space="preserve">PEVuZE5vdGU+PENpdGU+PEF1dGhvcj5NY0hhbGU8L0F1dGhvcj48WWVhcj4yMDA0PC9ZZWFyPjxS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</w:fldData>
        </w:fldChar>
      </w:r>
      <w:r w:rsidR="00D77B05">
        <w:instrText xml:space="preserve"> ADDIN EN.CITE </w:instrText>
      </w:r>
      <w:r w:rsidR="00D77B05">
        <w:fldChar w:fldCharType="begin">
          <w:fldData xml:space="preserve">PEVuZE5vdGU+PENpdGU+PEF1dGhvcj5NY0hhbGU8L0F1dGhvcj48WWVhcj4yMDA0PC9ZZWFyPjxS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</w:fldData>
        </w:fldChar>
      </w:r>
      <w:r w:rsidR="00D77B05">
        <w:instrText xml:space="preserve"> ADDIN EN.CITE.DATA </w:instrText>
      </w:r>
      <w:r w:rsidR="00D77B05">
        <w:fldChar w:fldCharType="end"/>
      </w:r>
      <w:r w:rsidR="00C02DA6">
        <w:fldChar w:fldCharType="separate"/>
      </w:r>
      <w:r w:rsidR="00C02DA6">
        <w:rPr>
          <w:noProof/>
        </w:rPr>
        <w:t>(</w:t>
      </w:r>
      <w:hyperlink w:anchor="_ENREF_3" w:tooltip="Bartini, 2006 #355" w:history="1">
        <w:r w:rsidR="00930389">
          <w:rPr>
            <w:noProof/>
          </w:rPr>
          <w:t>Bartini, 2006</w:t>
        </w:r>
      </w:hyperlink>
      <w:r w:rsidR="00C02DA6">
        <w:rPr>
          <w:noProof/>
        </w:rPr>
        <w:t xml:space="preserve">; </w:t>
      </w:r>
      <w:hyperlink w:anchor="_ENREF_23" w:tooltip="Huston, 1990 #162" w:history="1">
        <w:r w:rsidR="00930389">
          <w:rPr>
            <w:noProof/>
          </w:rPr>
          <w:t>Huston &amp; Alvarez, 1990</w:t>
        </w:r>
      </w:hyperlink>
      <w:r w:rsidR="00C02DA6">
        <w:rPr>
          <w:noProof/>
        </w:rPr>
        <w:t xml:space="preserve">; </w:t>
      </w:r>
      <w:hyperlink w:anchor="_ENREF_28" w:tooltip="McHale, 2004 #217" w:history="1">
        <w:r w:rsidR="00930389">
          <w:rPr>
            <w:noProof/>
          </w:rPr>
          <w:t>McHale, Shanahan, Updegraff, Crouter, &amp; Booth, 2004</w:t>
        </w:r>
      </w:hyperlink>
      <w:r w:rsidR="00C02DA6">
        <w:rPr>
          <w:noProof/>
        </w:rPr>
        <w:t>)</w:t>
      </w:r>
      <w:r w:rsidR="00C02DA6">
        <w:fldChar w:fldCharType="end"/>
      </w:r>
      <w:r w:rsidR="00C02DA6">
        <w:t xml:space="preserve">.  </w:t>
      </w:r>
      <w:r w:rsidR="009251B3">
        <w:t>In addition, g</w:t>
      </w:r>
      <w:r w:rsidR="00577A5F">
        <w:t xml:space="preserve">ender stereotype flexibility </w:t>
      </w:r>
      <w:r w:rsidR="00C02DA6">
        <w:t>has also been</w:t>
      </w:r>
      <w:r w:rsidR="00577A5F">
        <w:t xml:space="preserve"> shown to decrease when children make significant transitions in the school system (for example, from primary to secondary school; Alfieri, </w:t>
      </w:r>
      <w:proofErr w:type="spellStart"/>
      <w:r w:rsidR="00577A5F">
        <w:t>Ruble</w:t>
      </w:r>
      <w:proofErr w:type="spellEnd"/>
      <w:r w:rsidR="00577A5F">
        <w:t xml:space="preserve">, &amp; Higgins, </w:t>
      </w:r>
      <w:r w:rsidR="00577A5F">
        <w:fldChar w:fldCharType="begin"/>
      </w:r>
      <w:r w:rsidR="00577A5F">
        <w:instrText xml:space="preserve"> ADDIN EN.CITE &lt;EndNote&gt;&lt;Cite ExcludeAuth="1" ExcludeYear="1"&gt;&lt;Author&gt;Alfieri&lt;/Author&gt;&lt;Year&gt;1996&lt;/Year&gt;&lt;RecNum&gt;254&lt;/RecNum&gt;&lt;record&gt;&lt;rec-number&gt;254&lt;/rec-number&gt;&lt;foreign-keys&gt;&lt;key app="EN" db-id="f5p9zd5zqsratqef5sv5pz2wpve092vrdw52"&gt;254&lt;/key&gt;&lt;/foreign-keys&gt;&lt;ref-type name="Journal Article"&gt;17&lt;/ref-type&gt;&lt;contributors&gt;&lt;authors&gt;&lt;author&gt;Alfieri, T.&lt;/author&gt;&lt;author&gt;Ruble, D. N.&lt;/author&gt;&lt;author&gt;Higgins, E. T.&lt;/author&gt;&lt;/authors&gt;&lt;/contributors&gt;&lt;titles&gt;&lt;title&gt;Gender Stereotypes During Adolescence: Developmental Changes and the Transition to Junior High School&lt;/title&gt;&lt;secondary-title&gt;Developmental Psychology&lt;/secondary-title&gt;&lt;/titles&gt;&lt;periodical&gt;&lt;full-title&gt;Developmental Psychology&lt;/full-title&gt;&lt;/periodical&gt;&lt;pages&gt;1129-1137&lt;/pages&gt;&lt;volume&gt;32&lt;/volume&gt;&lt;dates&gt;&lt;year&gt;1996&lt;/year&gt;&lt;/dates&gt;&lt;urls&gt;&lt;/urls&gt;&lt;/record&gt;&lt;/Cite&gt;&lt;/EndNote&gt;</w:instrText>
      </w:r>
      <w:r w:rsidR="00577A5F">
        <w:fldChar w:fldCharType="end"/>
      </w:r>
      <w:r w:rsidR="00577A5F">
        <w:t xml:space="preserve">1996), and </w:t>
      </w:r>
      <w:r w:rsidR="009251B3">
        <w:t xml:space="preserve">a </w:t>
      </w:r>
      <w:r w:rsidR="00C02DA6">
        <w:t>substantial</w:t>
      </w:r>
      <w:r w:rsidR="009251B3">
        <w:t xml:space="preserve"> proportion of the</w:t>
      </w:r>
      <w:r w:rsidR="00577A5F">
        <w:t xml:space="preserve"> children in this middle age group will have just experienced this</w:t>
      </w:r>
      <w:r w:rsidR="00C02DA6">
        <w:t xml:space="preserve"> type of</w:t>
      </w:r>
      <w:r w:rsidR="00577A5F">
        <w:t xml:space="preserve"> change.  </w:t>
      </w:r>
      <w:r w:rsidR="00C02DA6">
        <w:t xml:space="preserve">These two explanations taken together would </w:t>
      </w:r>
      <w:r w:rsidR="00D951DE">
        <w:t xml:space="preserve">suggest that any differential gender-typing of prosocial behaviour would be particularly clear at this age </w:t>
      </w:r>
      <w:r w:rsidR="00B366BB">
        <w:t>in comparison</w:t>
      </w:r>
      <w:r w:rsidR="00D951DE">
        <w:t xml:space="preserve"> to younger and older children</w:t>
      </w:r>
      <w:r w:rsidR="00BC7C84">
        <w:t>,</w:t>
      </w:r>
      <w:r w:rsidR="00D951DE">
        <w:t xml:space="preserve"> who may be more flexible in their thinking and more settled in their schools.  </w:t>
      </w:r>
      <w:r w:rsidR="009251B3">
        <w:t xml:space="preserve">Other explanations include cohort effects, as a large proportion of the children in the early- to mid-adolescent group </w:t>
      </w:r>
      <w:r w:rsidR="00BC7C84">
        <w:t>were</w:t>
      </w:r>
      <w:r w:rsidR="009251B3">
        <w:t xml:space="preserve"> from the same secondary school</w:t>
      </w:r>
      <w:r w:rsidR="00D951DE">
        <w:t>, and something about this shared environment could have led to more extreme judgements.</w:t>
      </w:r>
      <w:r w:rsidR="00BC7C84">
        <w:t xml:space="preserve">  However, it must </w:t>
      </w:r>
      <w:r w:rsidR="009251B3">
        <w:t>be noted that overall patterns of gender-typing across age shared more similarities than differences.</w:t>
      </w:r>
    </w:p>
    <w:p w:rsidR="00106C72" w:rsidRDefault="009251B3" w:rsidP="00612B8A">
      <w:pPr>
        <w:spacing w:after="120"/>
        <w:contextualSpacing/>
      </w:pPr>
      <w:r>
        <w:tab/>
      </w:r>
      <w:r w:rsidR="004962AB">
        <w:t>B</w:t>
      </w:r>
      <w:r w:rsidR="00CB3C87">
        <w:t>oys showed slightly clearer loading patterns compared to girls</w:t>
      </w:r>
      <w:r w:rsidR="00280F93">
        <w:t>, suggesting</w:t>
      </w:r>
      <w:r w:rsidR="00CB3C87">
        <w:t xml:space="preserve"> that boys </w:t>
      </w:r>
      <w:r w:rsidR="004962AB">
        <w:t xml:space="preserve">are much more distinctive in their </w:t>
      </w:r>
      <w:r w:rsidR="00280F93">
        <w:t xml:space="preserve">categorisation of prosocial behaviours as masculine vs. feminine.  </w:t>
      </w:r>
      <w:r w:rsidR="003A0253">
        <w:t xml:space="preserve">This may be due to boys’ greater stereotype preferences compared to girls </w:t>
      </w:r>
      <w:r w:rsidR="003A0253">
        <w:fldChar w:fldCharType="begin"/>
      </w:r>
      <w:r w:rsidR="003A0253">
        <w:instrText xml:space="preserve"> ADDIN EN.CITE &lt;EndNote&gt;&lt;Cite&gt;&lt;Author&gt;Ruble&lt;/Author&gt;&lt;Year&gt;1998&lt;/Year&gt;&lt;RecNum&gt;777&lt;/RecNum&gt;&lt;DisplayText&gt;(Ruble &amp;amp; Martin, 1998)&lt;/DisplayText&gt;&lt;record&gt;&lt;rec-number&gt;777&lt;/rec-number&gt;&lt;foreign-keys&gt;&lt;key app="EN" db-id="f5p9zd5zqsratqef5sv5pz2wpve092vrdw52"&gt;777&lt;/key&gt;&lt;/foreign-keys&gt;&lt;ref-type name="Book Section"&gt;5&lt;/ref-type&gt;&lt;contributors&gt;&lt;authors&gt;&lt;author&gt;Ruble, D. N.&lt;/author&gt;&lt;author&gt;Martin, C. L.&lt;/author&gt;&lt;/authors&gt;&lt;secondary-authors&gt;&lt;author&gt;N. Eisenberg&lt;/author&gt;&lt;/secondary-authors&gt;&lt;/contributors&gt;&lt;titles&gt;&lt;title&gt;Gender Development&lt;/title&gt;&lt;secondary-title&gt;Handbook of Child Psychology: Vol. 3, personality and social development&lt;/secondary-title&gt;&lt;/titles&gt;&lt;pages&gt;933-1016&lt;/pages&gt;&lt;edition&gt;5th&lt;/edition&gt;&lt;dates&gt;&lt;year&gt;1998&lt;/year&gt;&lt;/dates&gt;&lt;pub-location&gt;New York, NY&lt;/pub-location&gt;&lt;publisher&gt;Wiley&lt;/publisher&gt;&lt;urls&gt;&lt;/urls&gt;&lt;/record&gt;&lt;/Cite&gt;&lt;/EndNote&gt;</w:instrText>
      </w:r>
      <w:r w:rsidR="003A0253">
        <w:fldChar w:fldCharType="separate"/>
      </w:r>
      <w:r w:rsidR="003A0253">
        <w:rPr>
          <w:noProof/>
        </w:rPr>
        <w:t>(</w:t>
      </w:r>
      <w:hyperlink w:anchor="_ENREF_31" w:tooltip="Ruble, 1998 #777" w:history="1">
        <w:r w:rsidR="00930389">
          <w:rPr>
            <w:noProof/>
          </w:rPr>
          <w:t>Ruble &amp; Martin, 1998</w:t>
        </w:r>
      </w:hyperlink>
      <w:r w:rsidR="003A0253">
        <w:rPr>
          <w:noProof/>
        </w:rPr>
        <w:t>)</w:t>
      </w:r>
      <w:r w:rsidR="003A0253">
        <w:fldChar w:fldCharType="end"/>
      </w:r>
      <w:r w:rsidR="003A0253">
        <w:t xml:space="preserve">.  Furthermore, boys may have greater knowledge about which behaviours are distinctly masculine, due to the relevance of these behaviours to their same-gender schemas as proposed by gender schema theory </w:t>
      </w:r>
      <w:r w:rsidR="003A0253">
        <w:fldChar w:fldCharType="begin"/>
      </w:r>
      <w:r w:rsidR="00D77B05">
        <w:instrText xml:space="preserve"> ADDIN EN.CITE &lt;EndNote&gt;&lt;Cite&gt;&lt;Author&gt;Martin&lt;/Author&gt;&lt;Year&gt;1981&lt;/Year&gt;&lt;RecNum&gt;203&lt;/RecNum&gt;&lt;DisplayText&gt;(Martin &amp;amp; Halverson, 1981)&lt;/DisplayText&gt;&lt;record&gt;&lt;rec-number&gt;203&lt;/rec-number&gt;&lt;foreign-keys&gt;&lt;key app="EN" db-id="f5p9zd5zqsratqef5sv5pz2wpve092vrdw52"&gt;203&lt;/key&gt;&lt;/foreign-keys&gt;&lt;ref-type name="Journal Article"&gt;17&lt;/ref-type&gt;&lt;contributors&gt;&lt;authors&gt;&lt;author&gt;Martin, C. L.&lt;/author&gt;&lt;author&gt;Halverson, C. F. &lt;/author&gt;&lt;/authors&gt;&lt;/contributors&gt;&lt;titles&gt;&lt;title&gt;A Schematic Processing Model of Sex Typing and Stereotyping in Children&lt;/title&gt;&lt;secondary-title&gt;Child Development&lt;/secondary-title&gt;&lt;/titles&gt;&lt;periodical&gt;&lt;full-title&gt;Child Development&lt;/full-title&gt;&lt;/periodical&gt;&lt;pages&gt;1119-1134&lt;/pages&gt;&lt;volume&gt;52&lt;/volume&gt;&lt;dates&gt;&lt;year&gt;1981&lt;/year&gt;&lt;/dates&gt;&lt;urls&gt;&lt;/urls&gt;&lt;electronic-resource-num&gt;10.2307/1129498&lt;/electronic-resource-num&gt;&lt;/record&gt;&lt;/Cite&gt;&lt;/EndNote&gt;</w:instrText>
      </w:r>
      <w:r w:rsidR="003A0253">
        <w:fldChar w:fldCharType="separate"/>
      </w:r>
      <w:r w:rsidR="003A0253">
        <w:rPr>
          <w:noProof/>
        </w:rPr>
        <w:t>(</w:t>
      </w:r>
      <w:hyperlink w:anchor="_ENREF_26" w:tooltip="Martin, 1981 #203" w:history="1">
        <w:r w:rsidR="00930389">
          <w:rPr>
            <w:noProof/>
          </w:rPr>
          <w:t>Martin &amp; Halverson, 1981</w:t>
        </w:r>
      </w:hyperlink>
      <w:r w:rsidR="003A0253">
        <w:rPr>
          <w:noProof/>
        </w:rPr>
        <w:t>)</w:t>
      </w:r>
      <w:r w:rsidR="003A0253">
        <w:fldChar w:fldCharType="end"/>
      </w:r>
      <w:r w:rsidR="003A0253">
        <w:t xml:space="preserve">.  This theory posits that children are motivated to seek out, attend to, and remember more same-gender than opposite-gender information.  Boys are therefore more likely to attend to information about prosocial actions that they believe to be masculine, and rate them as such when prompted.  </w:t>
      </w:r>
      <w:r w:rsidR="00A04D7A">
        <w:t xml:space="preserve">Alternatively, boys and girls could simply differ in their conceptualisations of </w:t>
      </w:r>
      <w:r w:rsidR="00875DFD">
        <w:t xml:space="preserve">these </w:t>
      </w:r>
      <w:r w:rsidR="00A04D7A">
        <w:t xml:space="preserve">behaviours.  For example, the differential gender-typing of </w:t>
      </w:r>
      <w:r w:rsidR="00B366BB">
        <w:rPr>
          <w:i/>
        </w:rPr>
        <w:t xml:space="preserve">Does Not Brag, Inclusive </w:t>
      </w:r>
      <w:r w:rsidR="00B366BB" w:rsidRPr="00E34F3D">
        <w:t>and</w:t>
      </w:r>
      <w:r w:rsidR="00B366BB">
        <w:rPr>
          <w:i/>
        </w:rPr>
        <w:t xml:space="preserve"> Confronts Others When Wrong </w:t>
      </w:r>
      <w:r w:rsidR="00A04D7A">
        <w:t xml:space="preserve">may be based on contrary understandings of what </w:t>
      </w:r>
      <w:r w:rsidR="00CE4900">
        <w:t>constitutes these behaviours, and therefore who is more likely to perform them</w:t>
      </w:r>
      <w:r w:rsidR="00A04D7A">
        <w:t xml:space="preserve">.  Largely however, </w:t>
      </w:r>
      <w:r w:rsidR="00280F93">
        <w:t xml:space="preserve">both boys and girls gender-typed items in a similar way, most likely reflecting their similar acquisition </w:t>
      </w:r>
      <w:r w:rsidR="00A04D7A">
        <w:t>of gender stereotype knowledge</w:t>
      </w:r>
      <w:r w:rsidR="00280F93">
        <w:t xml:space="preserve"> across childhood</w:t>
      </w:r>
      <w:r w:rsidR="00A04D7A">
        <w:t xml:space="preserve"> including that pertaining to prosocial behaviour.</w:t>
      </w:r>
      <w:r w:rsidR="00875DFD">
        <w:t xml:space="preserve">  This demonstrates that, from a young age, all children acknowledge that a select number of prosocial behaviours are more likely to be performed by boys.</w:t>
      </w:r>
    </w:p>
    <w:p w:rsidR="00FB5BA6" w:rsidRDefault="00D76FE6" w:rsidP="00612B8A">
      <w:pPr>
        <w:spacing w:after="120"/>
        <w:ind w:firstLine="720"/>
        <w:contextualSpacing/>
      </w:pPr>
      <w:r>
        <w:t>There are a number of limitations to this study</w:t>
      </w:r>
      <w:r w:rsidR="00B06E84">
        <w:t xml:space="preserve">.  </w:t>
      </w:r>
      <w:r w:rsidR="00D2526D">
        <w:t>First</w:t>
      </w:r>
      <w:r>
        <w:t xml:space="preserve">, </w:t>
      </w:r>
      <w:r w:rsidR="00D05701">
        <w:t>participants</w:t>
      </w:r>
      <w:r>
        <w:t xml:space="preserve"> came from schools and colleges in the South East of England and form a largely </w:t>
      </w:r>
      <w:r w:rsidR="008C65AA">
        <w:t>homogenous</w:t>
      </w:r>
      <w:r>
        <w:t xml:space="preserve"> </w:t>
      </w:r>
      <w:r w:rsidR="00EA58B9">
        <w:t>sample</w:t>
      </w:r>
      <w:r w:rsidR="00B06E84">
        <w:t xml:space="preserve">.  </w:t>
      </w:r>
      <w:r w:rsidR="00EA58B9">
        <w:t>Norms and ideals regarding prosociality and gender vary within and between cultures</w:t>
      </w:r>
      <w:r w:rsidR="00D05701">
        <w:t xml:space="preserve"> and </w:t>
      </w:r>
      <w:r w:rsidR="00EA58B9">
        <w:t xml:space="preserve">ethnic groups, and future research should attempt to </w:t>
      </w:r>
      <w:r w:rsidR="00D05701">
        <w:t>assess the consistency of gender-typing patterns</w:t>
      </w:r>
      <w:r w:rsidR="00EA58B9">
        <w:t xml:space="preserve"> </w:t>
      </w:r>
      <w:r w:rsidR="000D5186">
        <w:t xml:space="preserve">utilising </w:t>
      </w:r>
      <w:r w:rsidR="00875DFD">
        <w:t>more</w:t>
      </w:r>
      <w:r w:rsidR="000D5186">
        <w:t xml:space="preserve"> heterogeneous samples</w:t>
      </w:r>
      <w:r w:rsidR="00B06E84">
        <w:t xml:space="preserve">.  </w:t>
      </w:r>
      <w:r w:rsidR="00D2526D">
        <w:t>Second</w:t>
      </w:r>
      <w:r w:rsidR="00EA58B9">
        <w:t xml:space="preserve">, </w:t>
      </w:r>
      <w:r w:rsidR="00D05701">
        <w:t>whilst these results provide strong evidence for the gender-typing of these behaviours, data on the behaviour of participants was not gathered within this study</w:t>
      </w:r>
      <w:r w:rsidR="00B06E84">
        <w:t xml:space="preserve">.  </w:t>
      </w:r>
      <w:r w:rsidR="00D05701">
        <w:t xml:space="preserve">It is therefore not possible to assess whether the gender-typing observed in this study affects real behaviour </w:t>
      </w:r>
      <w:r w:rsidR="00AE5C54">
        <w:t>(</w:t>
      </w:r>
      <w:r w:rsidR="006F3A23">
        <w:t>i.e.,</w:t>
      </w:r>
      <w:r w:rsidR="00D05701">
        <w:t xml:space="preserve"> do boys perform male-typed behaviours more frequently and girls more female-</w:t>
      </w:r>
      <w:r w:rsidR="00AE5C54">
        <w:t>typed ones).</w:t>
      </w:r>
      <w:r w:rsidR="00842765">
        <w:t xml:space="preserve"> </w:t>
      </w:r>
      <w:r w:rsidR="00FA6D2F">
        <w:t xml:space="preserve"> </w:t>
      </w:r>
      <w:r w:rsidR="00875DFD">
        <w:t xml:space="preserve">Future research should seek to assess the causal relationship between the gender-typing of prosociality and prosocial behaviour in children, preferably from a longitudinal perspective.  </w:t>
      </w:r>
      <w:r w:rsidR="00842765">
        <w:t>In addition,</w:t>
      </w:r>
      <w:r w:rsidR="00D05701">
        <w:t xml:space="preserve"> data regarding </w:t>
      </w:r>
      <w:r w:rsidR="00D05701" w:rsidRPr="00D05701">
        <w:rPr>
          <w:i/>
        </w:rPr>
        <w:t>why</w:t>
      </w:r>
      <w:r w:rsidR="00D05701">
        <w:t xml:space="preserve"> participants gender-type behaviours </w:t>
      </w:r>
      <w:r w:rsidR="00842765">
        <w:t>as masculine or feminine</w:t>
      </w:r>
      <w:r w:rsidR="00D05701">
        <w:t xml:space="preserve"> would provide valuable insight </w:t>
      </w:r>
      <w:r w:rsidR="00842765">
        <w:t>into how important social information might be in performing prosocial behaviour and judging that of others</w:t>
      </w:r>
      <w:r w:rsidR="00AE5C54">
        <w:t xml:space="preserve">, particularly in relation to domain theory </w:t>
      </w:r>
      <w:r w:rsidR="00AE5C54">
        <w:fldChar w:fldCharType="begin"/>
      </w:r>
      <w:r w:rsidR="00AE5C54">
        <w:instrText xml:space="preserve"> ADDIN EN.CITE &lt;EndNote&gt;&lt;Cite&gt;&lt;Author&gt;Turiel&lt;/Author&gt;&lt;Year&gt;1998&lt;/Year&gt;&lt;RecNum&gt;347&lt;/RecNum&gt;&lt;DisplayText&gt;(Turiel, 1983, 1998)&lt;/DisplayText&gt;&lt;record&gt;&lt;rec-number&gt;347&lt;/rec-number&gt;&lt;foreign-keys&gt;&lt;key app="EN" db-id="f5p9zd5zqsratqef5sv5pz2wpve092vrdw52"&gt;347&lt;/key&gt;&lt;/foreign-keys&gt;&lt;ref-type name="Book Section"&gt;5&lt;/ref-type&gt;&lt;contributors&gt;&lt;authors&gt;&lt;author&gt;Turiel, E.&lt;/author&gt;&lt;/authors&gt;&lt;secondary-authors&gt;&lt;author&gt;N. Eisenberg&lt;/author&gt;&lt;/secondary-authors&gt;&lt;tertiary-authors&gt;&lt;author&gt;W. Damon&lt;/author&gt;&lt;/tertiary-authors&gt;&lt;/contributors&gt;&lt;titles&gt;&lt;title&gt;The development of morality&lt;/title&gt;&lt;secondary-title&gt;Handbook of child psychology: Vol. 3. Social, emotional, and personality development&lt;/secondary-title&gt;&lt;/titles&gt;&lt;pages&gt;863-932&lt;/pages&gt;&lt;edition&gt;5th&lt;/edition&gt;&lt;dates&gt;&lt;year&gt;1998&lt;/year&gt;&lt;/dates&gt;&lt;pub-location&gt;New York&lt;/pub-location&gt;&lt;publisher&gt;Wiley&lt;/publisher&gt;&lt;urls&gt;&lt;/urls&gt;&lt;/record&gt;&lt;/Cite&gt;&lt;Cite&gt;&lt;Author&gt;Turiel&lt;/Author&gt;&lt;Year&gt;1983&lt;/Year&gt;&lt;RecNum&gt;305&lt;/RecNum&gt;&lt;record&gt;&lt;rec-number&gt;305&lt;/rec-number&gt;&lt;foreign-keys&gt;&lt;key app="EN" db-id="f5p9zd5zqsratqef5sv5pz2wpve092vrdw52"&gt;305&lt;/key&gt;&lt;/foreign-keys&gt;&lt;ref-type name="Book"&gt;6&lt;/ref-type&gt;&lt;contributors&gt;&lt;authors&gt;&lt;author&gt;Turiel, E.&lt;/author&gt;&lt;/authors&gt;&lt;/contributors&gt;&lt;titles&gt;&lt;title&gt;The development of social knowledge: Morality and convention&lt;/title&gt;&lt;/titles&gt;&lt;dates&gt;&lt;year&gt;1983&lt;/year&gt;&lt;/dates&gt;&lt;pub-location&gt;Cambridge, England&lt;/pub-location&gt;&lt;publisher&gt;Cambridge University Press&lt;/publisher&gt;&lt;urls&gt;&lt;/urls&gt;&lt;/record&gt;&lt;/Cite&gt;&lt;/EndNote&gt;</w:instrText>
      </w:r>
      <w:r w:rsidR="00AE5C54">
        <w:fldChar w:fldCharType="separate"/>
      </w:r>
      <w:r w:rsidR="00AE5C54">
        <w:rPr>
          <w:noProof/>
        </w:rPr>
        <w:t>(</w:t>
      </w:r>
      <w:hyperlink w:anchor="_ENREF_37" w:tooltip="Turiel, 1983 #305" w:history="1">
        <w:r w:rsidR="00930389">
          <w:rPr>
            <w:noProof/>
          </w:rPr>
          <w:t>Turiel, 1983</w:t>
        </w:r>
      </w:hyperlink>
      <w:r w:rsidR="00AE5C54">
        <w:rPr>
          <w:noProof/>
        </w:rPr>
        <w:t xml:space="preserve">, </w:t>
      </w:r>
      <w:hyperlink w:anchor="_ENREF_38" w:tooltip="Turiel, 1998 #347" w:history="1">
        <w:r w:rsidR="00930389">
          <w:rPr>
            <w:noProof/>
          </w:rPr>
          <w:t>1998</w:t>
        </w:r>
      </w:hyperlink>
      <w:r w:rsidR="00AE5C54">
        <w:rPr>
          <w:noProof/>
        </w:rPr>
        <w:t>)</w:t>
      </w:r>
      <w:r w:rsidR="00AE5C54">
        <w:fldChar w:fldCharType="end"/>
      </w:r>
      <w:r w:rsidR="00AE5C54">
        <w:t xml:space="preserve">.  </w:t>
      </w:r>
      <w:r w:rsidR="00D2526D">
        <w:t>Finally, a total of only 31.4% variance was explained by the two-factor model</w:t>
      </w:r>
      <w:r w:rsidR="00B06E84">
        <w:t xml:space="preserve">.  </w:t>
      </w:r>
      <w:r w:rsidR="00D2526D">
        <w:t>This suggests that there may be other factors that better define and group these behaviours</w:t>
      </w:r>
      <w:r w:rsidR="00B06E84">
        <w:t xml:space="preserve">.  </w:t>
      </w:r>
      <w:r w:rsidR="00D2526D">
        <w:t xml:space="preserve">However, this is still a considerable amount of variance explained, and the strong masculine characteristics of the behaviours </w:t>
      </w:r>
      <w:r w:rsidR="009A344A">
        <w:t xml:space="preserve">loading </w:t>
      </w:r>
      <w:r w:rsidR="00D2526D">
        <w:t>on the 2</w:t>
      </w:r>
      <w:r w:rsidR="00D2526D" w:rsidRPr="00D2526D">
        <w:rPr>
          <w:vertAlign w:val="superscript"/>
        </w:rPr>
        <w:t>nd</w:t>
      </w:r>
      <w:r w:rsidR="00D2526D">
        <w:t xml:space="preserve"> component suggest that this is the correct way to categorise these items and factors.</w:t>
      </w:r>
    </w:p>
    <w:p w:rsidR="00423284" w:rsidRDefault="00FB5BA6" w:rsidP="00612B8A">
      <w:pPr>
        <w:spacing w:after="120"/>
        <w:contextualSpacing/>
      </w:pPr>
      <w:r>
        <w:tab/>
      </w:r>
      <w:r w:rsidR="00114778">
        <w:t>Evidence t</w:t>
      </w:r>
      <w:r w:rsidR="00F51DF5">
        <w:t>hat prosocial behaviours are differentially gender-typed across childhood and adolescence is important for two reasons</w:t>
      </w:r>
      <w:r w:rsidR="00B06E84">
        <w:t xml:space="preserve">.  </w:t>
      </w:r>
      <w:r w:rsidR="00F51DF5">
        <w:t xml:space="preserve">First, it demonstrates that </w:t>
      </w:r>
      <w:r w:rsidR="00516C0E">
        <w:t xml:space="preserve">using </w:t>
      </w:r>
      <w:r w:rsidR="00F51DF5">
        <w:t xml:space="preserve">limited </w:t>
      </w:r>
      <w:r w:rsidR="00FE26CD">
        <w:t>descriptors</w:t>
      </w:r>
      <w:r w:rsidR="00F51DF5">
        <w:t xml:space="preserve"> of prosocial behaviour </w:t>
      </w:r>
      <w:r w:rsidR="00516C0E">
        <w:t xml:space="preserve">(such as helping, sharing etc.) </w:t>
      </w:r>
      <w:r w:rsidR="00F51DF5">
        <w:t xml:space="preserve">as items in </w:t>
      </w:r>
      <w:r w:rsidR="00FE26CD">
        <w:t>research</w:t>
      </w:r>
      <w:r w:rsidR="00F51DF5">
        <w:t xml:space="preserve"> </w:t>
      </w:r>
      <w:r w:rsidR="00FE26CD">
        <w:t xml:space="preserve">may not allow for the </w:t>
      </w:r>
      <w:r w:rsidR="00B84A05">
        <w:t>masculine</w:t>
      </w:r>
      <w:r w:rsidR="00FE26CD">
        <w:t xml:space="preserve"> ratings </w:t>
      </w:r>
      <w:r w:rsidR="00B84A05">
        <w:t>shown</w:t>
      </w:r>
      <w:r w:rsidR="00FE26CD">
        <w:t xml:space="preserve"> in these results</w:t>
      </w:r>
      <w:r w:rsidR="00B06E84">
        <w:t xml:space="preserve">.  </w:t>
      </w:r>
      <w:r w:rsidR="00FE26CD">
        <w:t xml:space="preserve">Instead, ‘traditional’ </w:t>
      </w:r>
      <w:r w:rsidR="00516C0E">
        <w:t xml:space="preserve">prosocial </w:t>
      </w:r>
      <w:r w:rsidR="00FE26CD">
        <w:t>items may encourage participants to provide feminine ratings</w:t>
      </w:r>
      <w:r w:rsidR="00516C0E">
        <w:t>, which may</w:t>
      </w:r>
      <w:r w:rsidR="00FE26CD">
        <w:t xml:space="preserve"> in turn perpetuate the stereotype of prosocial behaviour as inherently feminine. </w:t>
      </w:r>
      <w:r w:rsidR="00B06E84">
        <w:t xml:space="preserve"> </w:t>
      </w:r>
      <w:r w:rsidR="004B532D">
        <w:t>This process may fundamentally discourage boys from performing the wide variety of prosocial behaviours they are capable of, or from performing prosocial actions altogether.</w:t>
      </w:r>
      <w:r w:rsidR="00FA6D2F">
        <w:t xml:space="preserve"> </w:t>
      </w:r>
      <w:r w:rsidR="00B06E84">
        <w:t xml:space="preserve"> </w:t>
      </w:r>
      <w:r w:rsidR="00FE26CD">
        <w:t xml:space="preserve">Second, by acknowledging the early existence of </w:t>
      </w:r>
      <w:r w:rsidR="000141AC">
        <w:t>male-typed prosocial behaviours, or the ‘</w:t>
      </w:r>
      <w:r w:rsidR="00FE26CD">
        <w:t>male prosocial niche</w:t>
      </w:r>
      <w:r w:rsidR="000141AC">
        <w:t xml:space="preserve">’, we better understand the </w:t>
      </w:r>
      <w:r w:rsidR="00516C0E">
        <w:t>complex</w:t>
      </w:r>
      <w:r w:rsidR="000141AC">
        <w:t xml:space="preserve"> relationship between gender and prosocial behaviour</w:t>
      </w:r>
      <w:r w:rsidR="00B06E84">
        <w:t xml:space="preserve">.  </w:t>
      </w:r>
      <w:r w:rsidR="000141AC">
        <w:t>Specifically, how social information may encourage or discourage certain forms of prosociality depend</w:t>
      </w:r>
      <w:r w:rsidR="00E34F3D">
        <w:t>ing</w:t>
      </w:r>
      <w:r w:rsidR="000141AC">
        <w:t xml:space="preserve"> on their congruence </w:t>
      </w:r>
      <w:r w:rsidR="00516C0E">
        <w:t>with gender roles</w:t>
      </w:r>
      <w:r w:rsidR="00B606F6">
        <w:t>, despite the identification of these actions as morally positive</w:t>
      </w:r>
      <w:r w:rsidR="00B06E84">
        <w:t xml:space="preserve">.  </w:t>
      </w:r>
      <w:r w:rsidR="00271FDC">
        <w:t xml:space="preserve">By tracking the development of the distinction between </w:t>
      </w:r>
      <w:r w:rsidR="00E34F3D">
        <w:t xml:space="preserve">prosocial </w:t>
      </w:r>
      <w:r w:rsidR="00271FDC">
        <w:t xml:space="preserve">behaviours that are appropriate for boys and those appropriate for girls, researchers can better understand the underlying mechanisms that </w:t>
      </w:r>
      <w:r w:rsidR="001B7494">
        <w:t>influence performance</w:t>
      </w:r>
      <w:r w:rsidR="00B606F6">
        <w:t xml:space="preserve"> of </w:t>
      </w:r>
      <w:r w:rsidR="00E34F3D">
        <w:t>these actions</w:t>
      </w:r>
      <w:r w:rsidR="00271FDC">
        <w:t xml:space="preserve"> throughout the lifespan.</w:t>
      </w:r>
      <w:r w:rsidR="001B7494">
        <w:t xml:space="preserve">  </w:t>
      </w:r>
      <w:r w:rsidR="00516C0E">
        <w:t xml:space="preserve">This is </w:t>
      </w:r>
      <w:r w:rsidR="00B606F6">
        <w:t>vital not only</w:t>
      </w:r>
      <w:r w:rsidR="00516C0E">
        <w:t xml:space="preserve"> </w:t>
      </w:r>
      <w:r w:rsidR="00296821">
        <w:t xml:space="preserve">in </w:t>
      </w:r>
      <w:r w:rsidR="00516C0E">
        <w:t>break</w:t>
      </w:r>
      <w:r w:rsidR="00296821">
        <w:t>ing</w:t>
      </w:r>
      <w:r w:rsidR="00516C0E">
        <w:t xml:space="preserve"> </w:t>
      </w:r>
      <w:r w:rsidR="00B606F6">
        <w:t xml:space="preserve">down </w:t>
      </w:r>
      <w:r w:rsidR="00516C0E">
        <w:t xml:space="preserve">the feminine prosocial stereotype, </w:t>
      </w:r>
      <w:r w:rsidR="00B606F6">
        <w:t>but</w:t>
      </w:r>
      <w:r w:rsidR="00296821">
        <w:t xml:space="preserve"> in </w:t>
      </w:r>
      <w:r w:rsidR="00B606F6">
        <w:t xml:space="preserve">encouraging </w:t>
      </w:r>
      <w:r w:rsidR="00296821">
        <w:t xml:space="preserve">the decision to act prosocially </w:t>
      </w:r>
      <w:r w:rsidR="00FE19C9">
        <w:t xml:space="preserve">on the moral </w:t>
      </w:r>
      <w:r w:rsidR="00296821">
        <w:t>nature of the behaviour</w:t>
      </w:r>
      <w:r w:rsidR="00B606F6">
        <w:t>, rather than on its gender appropriateness,</w:t>
      </w:r>
      <w:r w:rsidR="009A344A">
        <w:t xml:space="preserve"> in children and adults alike</w:t>
      </w:r>
      <w:r w:rsidR="00FE19C9">
        <w:t>.</w:t>
      </w:r>
      <w:r w:rsidR="004B532D">
        <w:t xml:space="preserve"> </w:t>
      </w:r>
      <w:r w:rsidR="00423284">
        <w:br w:type="page"/>
      </w:r>
    </w:p>
    <w:p w:rsidR="00423284" w:rsidRDefault="00423284" w:rsidP="00612B8A">
      <w:pPr>
        <w:pStyle w:val="Heading1"/>
        <w:keepLines w:val="0"/>
        <w:spacing w:before="120" w:after="120"/>
        <w:contextualSpacing/>
      </w:pPr>
      <w:r>
        <w:t>References</w:t>
      </w:r>
    </w:p>
    <w:p w:rsidR="00423284" w:rsidRDefault="00423284" w:rsidP="00612B8A">
      <w:pPr>
        <w:spacing w:after="120"/>
        <w:contextualSpacing/>
      </w:pPr>
    </w:p>
    <w:p w:rsidR="00930389" w:rsidRPr="00930389" w:rsidRDefault="00423284" w:rsidP="00930389">
      <w:pPr>
        <w:spacing w:after="0"/>
        <w:ind w:left="720" w:hanging="720"/>
        <w:rPr>
          <w:rFonts w:ascii="Times New Roman" w:hAnsi="Times New Roman" w:cs="Times New Roman"/>
          <w:noProof/>
          <w:sz w:val="24"/>
        </w:rPr>
      </w:pPr>
      <w:r>
        <w:fldChar w:fldCharType="begin"/>
      </w:r>
      <w:r>
        <w:instrText xml:space="preserve"> ADDIN EN.REFLIST </w:instrText>
      </w:r>
      <w:r>
        <w:fldChar w:fldCharType="separate"/>
      </w:r>
      <w:bookmarkStart w:id="14" w:name="_ENREF_1"/>
      <w:r w:rsidR="00930389" w:rsidRPr="00930389">
        <w:rPr>
          <w:rFonts w:ascii="Times New Roman" w:hAnsi="Times New Roman" w:cs="Times New Roman"/>
          <w:noProof/>
          <w:sz w:val="24"/>
        </w:rPr>
        <w:t xml:space="preserve">Alfieri, T., Ruble, D. N., &amp; Higgins, E. T. (1996). Gender Stereotypes During Adolescence: Developmental Changes and the Transition to Junior High School. </w:t>
      </w:r>
      <w:r w:rsidR="00930389" w:rsidRPr="00930389">
        <w:rPr>
          <w:rFonts w:ascii="Times New Roman" w:hAnsi="Times New Roman" w:cs="Times New Roman"/>
          <w:i/>
          <w:noProof/>
          <w:sz w:val="24"/>
        </w:rPr>
        <w:t>Developmental Psychology, 32</w:t>
      </w:r>
      <w:r w:rsidR="00930389" w:rsidRPr="00930389">
        <w:rPr>
          <w:rFonts w:ascii="Times New Roman" w:hAnsi="Times New Roman" w:cs="Times New Roman"/>
          <w:noProof/>
          <w:sz w:val="24"/>
        </w:rPr>
        <w:t xml:space="preserve">, 1129-1137. </w:t>
      </w:r>
      <w:bookmarkEnd w:id="14"/>
    </w:p>
    <w:p w:rsidR="00930389" w:rsidRPr="00930389" w:rsidRDefault="00930389" w:rsidP="00930389">
      <w:pPr>
        <w:spacing w:after="0"/>
        <w:ind w:left="720" w:hanging="720"/>
        <w:rPr>
          <w:rFonts w:ascii="Times New Roman" w:hAnsi="Times New Roman" w:cs="Times New Roman"/>
          <w:noProof/>
          <w:sz w:val="24"/>
        </w:rPr>
      </w:pPr>
      <w:bookmarkStart w:id="15" w:name="_ENREF_2"/>
      <w:r w:rsidRPr="00930389">
        <w:rPr>
          <w:rFonts w:ascii="Times New Roman" w:hAnsi="Times New Roman" w:cs="Times New Roman"/>
          <w:noProof/>
          <w:sz w:val="24"/>
        </w:rPr>
        <w:t xml:space="preserve">Bar-Tal, D., Raviv, A., &amp; Leiser, T. (1980). The Developmental of Altruistic Behavior: Empirical Evidence. </w:t>
      </w:r>
      <w:r w:rsidRPr="00930389">
        <w:rPr>
          <w:rFonts w:ascii="Times New Roman" w:hAnsi="Times New Roman" w:cs="Times New Roman"/>
          <w:i/>
          <w:noProof/>
          <w:sz w:val="24"/>
        </w:rPr>
        <w:t>Developmental Psychology, 16</w:t>
      </w:r>
      <w:r w:rsidRPr="00930389">
        <w:rPr>
          <w:rFonts w:ascii="Times New Roman" w:hAnsi="Times New Roman" w:cs="Times New Roman"/>
          <w:noProof/>
          <w:sz w:val="24"/>
        </w:rPr>
        <w:t>, 516-524. doi: 10.1037/0012-1649.16.5.516</w:t>
      </w:r>
      <w:bookmarkEnd w:id="15"/>
    </w:p>
    <w:p w:rsidR="00930389" w:rsidRPr="00930389" w:rsidRDefault="00930389" w:rsidP="00930389">
      <w:pPr>
        <w:spacing w:after="0"/>
        <w:ind w:left="720" w:hanging="720"/>
        <w:rPr>
          <w:rFonts w:ascii="Times New Roman" w:hAnsi="Times New Roman" w:cs="Times New Roman"/>
          <w:noProof/>
          <w:sz w:val="24"/>
        </w:rPr>
      </w:pPr>
      <w:bookmarkStart w:id="16" w:name="_ENREF_3"/>
      <w:r w:rsidRPr="00930389">
        <w:rPr>
          <w:rFonts w:ascii="Times New Roman" w:hAnsi="Times New Roman" w:cs="Times New Roman"/>
          <w:noProof/>
          <w:sz w:val="24"/>
        </w:rPr>
        <w:t xml:space="preserve">Bartini, M. (2006). Gender Role Flexibility in Early Adolescence: Developmental Change in Attitudes, Self-perceptions, and Behaviors. </w:t>
      </w:r>
      <w:r w:rsidRPr="00930389">
        <w:rPr>
          <w:rFonts w:ascii="Times New Roman" w:hAnsi="Times New Roman" w:cs="Times New Roman"/>
          <w:i/>
          <w:noProof/>
          <w:sz w:val="24"/>
        </w:rPr>
        <w:t>Sex Roles, 55</w:t>
      </w:r>
      <w:r w:rsidRPr="00930389">
        <w:rPr>
          <w:rFonts w:ascii="Times New Roman" w:hAnsi="Times New Roman" w:cs="Times New Roman"/>
          <w:noProof/>
          <w:sz w:val="24"/>
        </w:rPr>
        <w:t>, 233-245. doi: 10.1007/s11199-006-9076-1</w:t>
      </w:r>
      <w:bookmarkEnd w:id="16"/>
    </w:p>
    <w:p w:rsidR="00930389" w:rsidRPr="00930389" w:rsidRDefault="00930389" w:rsidP="00930389">
      <w:pPr>
        <w:spacing w:after="0"/>
        <w:ind w:left="720" w:hanging="720"/>
        <w:rPr>
          <w:rFonts w:ascii="Times New Roman" w:hAnsi="Times New Roman" w:cs="Times New Roman"/>
          <w:noProof/>
          <w:sz w:val="24"/>
        </w:rPr>
      </w:pPr>
      <w:bookmarkStart w:id="17" w:name="_ENREF_4"/>
      <w:r w:rsidRPr="00930389">
        <w:rPr>
          <w:rFonts w:ascii="Times New Roman" w:hAnsi="Times New Roman" w:cs="Times New Roman"/>
          <w:noProof/>
          <w:sz w:val="24"/>
        </w:rPr>
        <w:t xml:space="preserve">Bell, N. J., McGhee, P. E., &amp; Duffey, N. S. (1986). Interpersonal competence, social assertiveness and the development of humour. </w:t>
      </w:r>
      <w:r w:rsidRPr="00930389">
        <w:rPr>
          <w:rFonts w:ascii="Times New Roman" w:hAnsi="Times New Roman" w:cs="Times New Roman"/>
          <w:i/>
          <w:noProof/>
          <w:sz w:val="24"/>
        </w:rPr>
        <w:t>British Journal of Developmental Psychology, 4</w:t>
      </w:r>
      <w:r w:rsidRPr="00930389">
        <w:rPr>
          <w:rFonts w:ascii="Times New Roman" w:hAnsi="Times New Roman" w:cs="Times New Roman"/>
          <w:noProof/>
          <w:sz w:val="24"/>
        </w:rPr>
        <w:t>, 51-55. doi: 10.1111/j.2044-835X.1986.tb00997.x</w:t>
      </w:r>
      <w:bookmarkEnd w:id="17"/>
    </w:p>
    <w:p w:rsidR="00930389" w:rsidRPr="00930389" w:rsidRDefault="00930389" w:rsidP="00930389">
      <w:pPr>
        <w:spacing w:after="0"/>
        <w:ind w:left="720" w:hanging="720"/>
        <w:rPr>
          <w:rFonts w:ascii="Times New Roman" w:hAnsi="Times New Roman" w:cs="Times New Roman"/>
          <w:noProof/>
          <w:sz w:val="24"/>
        </w:rPr>
      </w:pPr>
      <w:bookmarkStart w:id="18" w:name="_ENREF_5"/>
      <w:r w:rsidRPr="00930389">
        <w:rPr>
          <w:rFonts w:ascii="Times New Roman" w:hAnsi="Times New Roman" w:cs="Times New Roman"/>
          <w:noProof/>
          <w:sz w:val="24"/>
        </w:rPr>
        <w:t xml:space="preserve">Bergin, C., Talley, S., &amp; Hamer, L. (2003). Prosocial behaviours of young adolescents: a focus group study. </w:t>
      </w:r>
      <w:r w:rsidRPr="00930389">
        <w:rPr>
          <w:rFonts w:ascii="Times New Roman" w:hAnsi="Times New Roman" w:cs="Times New Roman"/>
          <w:i/>
          <w:noProof/>
          <w:sz w:val="24"/>
        </w:rPr>
        <w:t>Journal of Adolescence, 26</w:t>
      </w:r>
      <w:r w:rsidRPr="00930389">
        <w:rPr>
          <w:rFonts w:ascii="Times New Roman" w:hAnsi="Times New Roman" w:cs="Times New Roman"/>
          <w:noProof/>
          <w:sz w:val="24"/>
        </w:rPr>
        <w:t>, 13-32. doi: 10.1016/50140-1971(02)00112-4</w:t>
      </w:r>
      <w:bookmarkEnd w:id="18"/>
    </w:p>
    <w:p w:rsidR="00930389" w:rsidRPr="00930389" w:rsidRDefault="00930389" w:rsidP="00930389">
      <w:pPr>
        <w:spacing w:after="0"/>
        <w:ind w:left="720" w:hanging="720"/>
        <w:rPr>
          <w:rFonts w:ascii="Times New Roman" w:hAnsi="Times New Roman" w:cs="Times New Roman"/>
          <w:noProof/>
          <w:sz w:val="24"/>
        </w:rPr>
      </w:pPr>
      <w:bookmarkStart w:id="19" w:name="_ENREF_6"/>
      <w:r w:rsidRPr="00930389">
        <w:rPr>
          <w:rFonts w:ascii="Times New Roman" w:hAnsi="Times New Roman" w:cs="Times New Roman"/>
          <w:noProof/>
          <w:sz w:val="24"/>
        </w:rPr>
        <w:t xml:space="preserve">de Bruyn, E. H., &amp; Cillessen, A. H. N. (2006). Popularity in early Adolescence: Prosocial and Antisocial Subtypes. </w:t>
      </w:r>
      <w:r w:rsidRPr="00930389">
        <w:rPr>
          <w:rFonts w:ascii="Times New Roman" w:hAnsi="Times New Roman" w:cs="Times New Roman"/>
          <w:i/>
          <w:noProof/>
          <w:sz w:val="24"/>
        </w:rPr>
        <w:t>Journal of Adolescent Research, 21</w:t>
      </w:r>
      <w:r w:rsidRPr="00930389">
        <w:rPr>
          <w:rFonts w:ascii="Times New Roman" w:hAnsi="Times New Roman" w:cs="Times New Roman"/>
          <w:noProof/>
          <w:sz w:val="24"/>
        </w:rPr>
        <w:t>, 607-627. doi: 10.1177/0743558406293966</w:t>
      </w:r>
      <w:bookmarkEnd w:id="19"/>
    </w:p>
    <w:p w:rsidR="00930389" w:rsidRPr="00930389" w:rsidRDefault="00930389" w:rsidP="00930389">
      <w:pPr>
        <w:spacing w:after="0"/>
        <w:ind w:left="720" w:hanging="720"/>
        <w:rPr>
          <w:rFonts w:ascii="Times New Roman" w:hAnsi="Times New Roman" w:cs="Times New Roman"/>
          <w:noProof/>
          <w:sz w:val="24"/>
        </w:rPr>
      </w:pPr>
      <w:bookmarkStart w:id="20" w:name="_ENREF_7"/>
      <w:r w:rsidRPr="00930389">
        <w:rPr>
          <w:rFonts w:ascii="Times New Roman" w:hAnsi="Times New Roman" w:cs="Times New Roman"/>
          <w:noProof/>
          <w:sz w:val="24"/>
        </w:rPr>
        <w:t>Eagly, A. H. (1987). Sex differences in social behavior: A social role interpretation. Hillsdale, NJ: Erlbaum.</w:t>
      </w:r>
      <w:bookmarkEnd w:id="20"/>
    </w:p>
    <w:p w:rsidR="00930389" w:rsidRPr="00930389" w:rsidRDefault="00930389" w:rsidP="00930389">
      <w:pPr>
        <w:spacing w:after="0"/>
        <w:ind w:left="720" w:hanging="720"/>
        <w:rPr>
          <w:rFonts w:ascii="Times New Roman" w:hAnsi="Times New Roman" w:cs="Times New Roman"/>
          <w:noProof/>
          <w:sz w:val="24"/>
        </w:rPr>
      </w:pPr>
      <w:bookmarkStart w:id="21" w:name="_ENREF_8"/>
      <w:r w:rsidRPr="00930389">
        <w:rPr>
          <w:rFonts w:ascii="Times New Roman" w:hAnsi="Times New Roman" w:cs="Times New Roman"/>
          <w:noProof/>
          <w:sz w:val="24"/>
        </w:rPr>
        <w:t xml:space="preserve">Eagly, A. H. (2009). The His and Hers of Prosocial Behavior: An Examination of the Social Psychology of Gender. </w:t>
      </w:r>
      <w:r w:rsidRPr="00930389">
        <w:rPr>
          <w:rFonts w:ascii="Times New Roman" w:hAnsi="Times New Roman" w:cs="Times New Roman"/>
          <w:i/>
          <w:noProof/>
          <w:sz w:val="24"/>
        </w:rPr>
        <w:t>American Psychologist, 64</w:t>
      </w:r>
      <w:r w:rsidRPr="00930389">
        <w:rPr>
          <w:rFonts w:ascii="Times New Roman" w:hAnsi="Times New Roman" w:cs="Times New Roman"/>
          <w:noProof/>
          <w:sz w:val="24"/>
        </w:rPr>
        <w:t>, 644-658. doi: 10.1037/0003-066X.64.8644</w:t>
      </w:r>
      <w:bookmarkEnd w:id="21"/>
    </w:p>
    <w:p w:rsidR="00930389" w:rsidRPr="00930389" w:rsidRDefault="00930389" w:rsidP="00930389">
      <w:pPr>
        <w:spacing w:after="0"/>
        <w:ind w:left="720" w:hanging="720"/>
        <w:rPr>
          <w:rFonts w:ascii="Times New Roman" w:hAnsi="Times New Roman" w:cs="Times New Roman"/>
          <w:noProof/>
          <w:sz w:val="24"/>
        </w:rPr>
      </w:pPr>
      <w:bookmarkStart w:id="22" w:name="_ENREF_9"/>
      <w:r w:rsidRPr="00930389">
        <w:rPr>
          <w:rFonts w:ascii="Times New Roman" w:hAnsi="Times New Roman" w:cs="Times New Roman"/>
          <w:noProof/>
          <w:sz w:val="24"/>
        </w:rPr>
        <w:t xml:space="preserve">Eagly, A. H., Wood, W., &amp; Diekman, A. B. (2000). Social Role Theory of Sex Differences and Similarities: A Current Appraisal. In T. Eckes &amp; H. M. Trautner (Eds.), </w:t>
      </w:r>
      <w:r w:rsidRPr="00930389">
        <w:rPr>
          <w:rFonts w:ascii="Times New Roman" w:hAnsi="Times New Roman" w:cs="Times New Roman"/>
          <w:i/>
          <w:noProof/>
          <w:sz w:val="24"/>
        </w:rPr>
        <w:t>The Developmental Social Psychology of Gender</w:t>
      </w:r>
      <w:r w:rsidRPr="00930389">
        <w:rPr>
          <w:rFonts w:ascii="Times New Roman" w:hAnsi="Times New Roman" w:cs="Times New Roman"/>
          <w:noProof/>
          <w:sz w:val="24"/>
        </w:rPr>
        <w:t>. Mahwah, NJ: Lawrence Erlbaum Associates.</w:t>
      </w:r>
      <w:bookmarkEnd w:id="22"/>
    </w:p>
    <w:p w:rsidR="00930389" w:rsidRPr="00930389" w:rsidRDefault="00930389" w:rsidP="00930389">
      <w:pPr>
        <w:spacing w:after="0"/>
        <w:ind w:left="720" w:hanging="720"/>
        <w:rPr>
          <w:rFonts w:ascii="Times New Roman" w:hAnsi="Times New Roman" w:cs="Times New Roman"/>
          <w:noProof/>
          <w:sz w:val="24"/>
        </w:rPr>
      </w:pPr>
      <w:bookmarkStart w:id="23" w:name="_ENREF_10"/>
      <w:r w:rsidRPr="00930389">
        <w:rPr>
          <w:rFonts w:ascii="Times New Roman" w:hAnsi="Times New Roman" w:cs="Times New Roman"/>
          <w:noProof/>
          <w:sz w:val="24"/>
        </w:rPr>
        <w:t xml:space="preserve">Eisenberg, N., Fabes, R. A., &amp; Spinrad, T. L. (2006). Prosocial Development. In N. Eisenberg (Ed.), </w:t>
      </w:r>
      <w:r w:rsidRPr="00930389">
        <w:rPr>
          <w:rFonts w:ascii="Times New Roman" w:hAnsi="Times New Roman" w:cs="Times New Roman"/>
          <w:i/>
          <w:noProof/>
          <w:sz w:val="24"/>
        </w:rPr>
        <w:t>Handbook of Child Psychology, Vol 3: Social, Emotional, and Personality Development</w:t>
      </w:r>
      <w:r w:rsidRPr="00930389">
        <w:rPr>
          <w:rFonts w:ascii="Times New Roman" w:hAnsi="Times New Roman" w:cs="Times New Roman"/>
          <w:noProof/>
          <w:sz w:val="24"/>
        </w:rPr>
        <w:t xml:space="preserve"> (pp. 646-718).</w:t>
      </w:r>
      <w:bookmarkEnd w:id="23"/>
    </w:p>
    <w:p w:rsidR="00930389" w:rsidRPr="00930389" w:rsidRDefault="00930389" w:rsidP="00930389">
      <w:pPr>
        <w:spacing w:after="0"/>
        <w:ind w:left="720" w:hanging="720"/>
        <w:rPr>
          <w:rFonts w:ascii="Times New Roman" w:hAnsi="Times New Roman" w:cs="Times New Roman"/>
          <w:noProof/>
          <w:sz w:val="24"/>
        </w:rPr>
      </w:pPr>
      <w:bookmarkStart w:id="24" w:name="_ENREF_11"/>
      <w:r w:rsidRPr="00930389">
        <w:rPr>
          <w:rFonts w:ascii="Times New Roman" w:hAnsi="Times New Roman" w:cs="Times New Roman"/>
          <w:noProof/>
          <w:sz w:val="24"/>
        </w:rPr>
        <w:t xml:space="preserve">Eisenberg, N., &amp; Miller, P. A. (1987). The relation of empathy to prosocial and related behavior. </w:t>
      </w:r>
      <w:r w:rsidRPr="00930389">
        <w:rPr>
          <w:rFonts w:ascii="Times New Roman" w:hAnsi="Times New Roman" w:cs="Times New Roman"/>
          <w:i/>
          <w:noProof/>
          <w:sz w:val="24"/>
        </w:rPr>
        <w:t>Psychological Bulletin, 101</w:t>
      </w:r>
      <w:r w:rsidRPr="00930389">
        <w:rPr>
          <w:rFonts w:ascii="Times New Roman" w:hAnsi="Times New Roman" w:cs="Times New Roman"/>
          <w:noProof/>
          <w:sz w:val="24"/>
        </w:rPr>
        <w:t>, 91-119. doi: 10.1037/0033-2909.101.1.91</w:t>
      </w:r>
      <w:bookmarkEnd w:id="24"/>
    </w:p>
    <w:p w:rsidR="00930389" w:rsidRPr="00930389" w:rsidRDefault="00930389" w:rsidP="00930389">
      <w:pPr>
        <w:spacing w:after="0"/>
        <w:ind w:left="720" w:hanging="720"/>
        <w:rPr>
          <w:rFonts w:ascii="Times New Roman" w:hAnsi="Times New Roman" w:cs="Times New Roman"/>
          <w:noProof/>
          <w:sz w:val="24"/>
        </w:rPr>
      </w:pPr>
      <w:bookmarkStart w:id="25" w:name="_ENREF_12"/>
      <w:r w:rsidRPr="00930389">
        <w:rPr>
          <w:rFonts w:ascii="Times New Roman" w:hAnsi="Times New Roman" w:cs="Times New Roman"/>
          <w:noProof/>
          <w:sz w:val="24"/>
        </w:rPr>
        <w:t xml:space="preserve">Eisenberg, N., &amp; Mussen, P. H. (1989). </w:t>
      </w:r>
      <w:r w:rsidRPr="00930389">
        <w:rPr>
          <w:rFonts w:ascii="Times New Roman" w:hAnsi="Times New Roman" w:cs="Times New Roman"/>
          <w:i/>
          <w:noProof/>
          <w:sz w:val="24"/>
        </w:rPr>
        <w:t>The Roots of Prosocial Behavior in Children</w:t>
      </w:r>
      <w:r w:rsidRPr="00930389">
        <w:rPr>
          <w:rFonts w:ascii="Times New Roman" w:hAnsi="Times New Roman" w:cs="Times New Roman"/>
          <w:noProof/>
          <w:sz w:val="24"/>
        </w:rPr>
        <w:t>. New York: Cambridge University Press.</w:t>
      </w:r>
      <w:bookmarkEnd w:id="25"/>
    </w:p>
    <w:p w:rsidR="00930389" w:rsidRPr="00930389" w:rsidRDefault="00930389" w:rsidP="00930389">
      <w:pPr>
        <w:spacing w:after="0"/>
        <w:ind w:left="720" w:hanging="720"/>
        <w:rPr>
          <w:rFonts w:ascii="Times New Roman" w:hAnsi="Times New Roman" w:cs="Times New Roman"/>
          <w:noProof/>
          <w:sz w:val="24"/>
        </w:rPr>
      </w:pPr>
      <w:bookmarkStart w:id="26" w:name="_ENREF_13"/>
      <w:r w:rsidRPr="00930389">
        <w:rPr>
          <w:rFonts w:ascii="Times New Roman" w:hAnsi="Times New Roman" w:cs="Times New Roman"/>
          <w:noProof/>
          <w:sz w:val="24"/>
        </w:rPr>
        <w:t xml:space="preserve">Fabes, R. A., Carlo, G., Kupanoff, K., &amp; Laible, D. (1999). Early Adolescence and Prosocial/Moral Behavior I: The Role of Individual Processes. </w:t>
      </w:r>
      <w:r w:rsidRPr="00930389">
        <w:rPr>
          <w:rFonts w:ascii="Times New Roman" w:hAnsi="Times New Roman" w:cs="Times New Roman"/>
          <w:i/>
          <w:noProof/>
          <w:sz w:val="24"/>
        </w:rPr>
        <w:t>The Journal of Early Adolescence, 19</w:t>
      </w:r>
      <w:r w:rsidRPr="00930389">
        <w:rPr>
          <w:rFonts w:ascii="Times New Roman" w:hAnsi="Times New Roman" w:cs="Times New Roman"/>
          <w:noProof/>
          <w:sz w:val="24"/>
        </w:rPr>
        <w:t>, 5-16. doi: 10.1177/0272431699019001001</w:t>
      </w:r>
      <w:bookmarkEnd w:id="26"/>
    </w:p>
    <w:p w:rsidR="00930389" w:rsidRPr="00930389" w:rsidRDefault="00930389" w:rsidP="00930389">
      <w:pPr>
        <w:spacing w:after="0"/>
        <w:ind w:left="720" w:hanging="720"/>
        <w:rPr>
          <w:rFonts w:ascii="Times New Roman" w:hAnsi="Times New Roman" w:cs="Times New Roman"/>
          <w:noProof/>
          <w:sz w:val="24"/>
        </w:rPr>
      </w:pPr>
      <w:bookmarkStart w:id="27" w:name="_ENREF_14"/>
      <w:r w:rsidRPr="00930389">
        <w:rPr>
          <w:rFonts w:ascii="Times New Roman" w:hAnsi="Times New Roman" w:cs="Times New Roman"/>
          <w:noProof/>
          <w:sz w:val="24"/>
        </w:rPr>
        <w:t xml:space="preserve">Fabes, R. A., &amp; Eisenberg, N. (1996). </w:t>
      </w:r>
      <w:r w:rsidRPr="00930389">
        <w:rPr>
          <w:rFonts w:ascii="Times New Roman" w:hAnsi="Times New Roman" w:cs="Times New Roman"/>
          <w:i/>
          <w:noProof/>
          <w:sz w:val="24"/>
        </w:rPr>
        <w:t>Meta-Analyses of Age and Sex Differences in Children's and Adolescents' Prosocial Behavior. Unpublished Manuscript.</w:t>
      </w:r>
      <w:r w:rsidRPr="00930389">
        <w:rPr>
          <w:rFonts w:ascii="Times New Roman" w:hAnsi="Times New Roman" w:cs="Times New Roman"/>
          <w:noProof/>
          <w:sz w:val="24"/>
        </w:rPr>
        <w:t xml:space="preserve">  </w:t>
      </w:r>
      <w:bookmarkEnd w:id="27"/>
    </w:p>
    <w:p w:rsidR="00930389" w:rsidRPr="00930389" w:rsidRDefault="00930389" w:rsidP="00930389">
      <w:pPr>
        <w:spacing w:after="0"/>
        <w:ind w:left="720" w:hanging="720"/>
        <w:rPr>
          <w:rFonts w:ascii="Times New Roman" w:hAnsi="Times New Roman" w:cs="Times New Roman"/>
          <w:noProof/>
          <w:sz w:val="24"/>
        </w:rPr>
      </w:pPr>
      <w:bookmarkStart w:id="28" w:name="_ENREF_15"/>
      <w:r w:rsidRPr="00930389">
        <w:rPr>
          <w:rFonts w:ascii="Times New Roman" w:hAnsi="Times New Roman" w:cs="Times New Roman"/>
          <w:noProof/>
          <w:sz w:val="24"/>
        </w:rPr>
        <w:t xml:space="preserve">Galambos, N. L., Almedia, D. M., &amp; Petersen, A. C. (1990). Masculinity, femininity, and sex role attitudes in early adolescence: Exploring gender intensification. </w:t>
      </w:r>
      <w:r w:rsidRPr="00930389">
        <w:rPr>
          <w:rFonts w:ascii="Times New Roman" w:hAnsi="Times New Roman" w:cs="Times New Roman"/>
          <w:i/>
          <w:noProof/>
          <w:sz w:val="24"/>
        </w:rPr>
        <w:t>Child Development, 61</w:t>
      </w:r>
      <w:r w:rsidRPr="00930389">
        <w:rPr>
          <w:rFonts w:ascii="Times New Roman" w:hAnsi="Times New Roman" w:cs="Times New Roman"/>
          <w:noProof/>
          <w:sz w:val="24"/>
        </w:rPr>
        <w:t>, 1905-1914. doi: 10.1111/j.1467-8624.1990.tb03574.x</w:t>
      </w:r>
      <w:bookmarkEnd w:id="28"/>
    </w:p>
    <w:p w:rsidR="00930389" w:rsidRPr="00930389" w:rsidRDefault="00930389" w:rsidP="00930389">
      <w:pPr>
        <w:spacing w:after="0"/>
        <w:ind w:left="720" w:hanging="720"/>
        <w:rPr>
          <w:rFonts w:ascii="Times New Roman" w:hAnsi="Times New Roman" w:cs="Times New Roman"/>
          <w:noProof/>
          <w:sz w:val="24"/>
        </w:rPr>
      </w:pPr>
      <w:bookmarkStart w:id="29" w:name="_ENREF_16"/>
      <w:r w:rsidRPr="00930389">
        <w:rPr>
          <w:rFonts w:ascii="Times New Roman" w:hAnsi="Times New Roman" w:cs="Times New Roman"/>
          <w:noProof/>
          <w:sz w:val="24"/>
        </w:rPr>
        <w:t xml:space="preserve">Gardner, W. L., &amp; Gabriel, S. (2004). Gender differences in relational and collective interdependence: Implications for self-views, social behavior, and subjective well-being. In A. H. Eagly, A. Beall &amp; R. J. Sternberg (Eds.), </w:t>
      </w:r>
      <w:r w:rsidRPr="00930389">
        <w:rPr>
          <w:rFonts w:ascii="Times New Roman" w:hAnsi="Times New Roman" w:cs="Times New Roman"/>
          <w:i/>
          <w:noProof/>
          <w:sz w:val="24"/>
        </w:rPr>
        <w:t>The psychology of gender</w:t>
      </w:r>
      <w:r w:rsidRPr="00930389">
        <w:rPr>
          <w:rFonts w:ascii="Times New Roman" w:hAnsi="Times New Roman" w:cs="Times New Roman"/>
          <w:noProof/>
          <w:sz w:val="24"/>
        </w:rPr>
        <w:t xml:space="preserve"> (2nd ed., pp. 169-191). New York: Guildford Press.</w:t>
      </w:r>
      <w:bookmarkEnd w:id="29"/>
    </w:p>
    <w:p w:rsidR="00930389" w:rsidRPr="00930389" w:rsidRDefault="00930389" w:rsidP="00930389">
      <w:pPr>
        <w:spacing w:after="0"/>
        <w:ind w:left="720" w:hanging="720"/>
        <w:rPr>
          <w:rFonts w:ascii="Times New Roman" w:hAnsi="Times New Roman" w:cs="Times New Roman"/>
          <w:noProof/>
          <w:sz w:val="24"/>
        </w:rPr>
      </w:pPr>
      <w:bookmarkStart w:id="30" w:name="_ENREF_17"/>
      <w:r w:rsidRPr="00930389">
        <w:rPr>
          <w:rFonts w:ascii="Times New Roman" w:hAnsi="Times New Roman" w:cs="Times New Roman"/>
          <w:noProof/>
          <w:sz w:val="24"/>
        </w:rPr>
        <w:t xml:space="preserve">Glick, P., &amp; Fiske, S. T. (2001). An ambivalent alliance: Hostile and benevolent sexism as complementary justifications for gender inequality. </w:t>
      </w:r>
      <w:r w:rsidRPr="00930389">
        <w:rPr>
          <w:rFonts w:ascii="Times New Roman" w:hAnsi="Times New Roman" w:cs="Times New Roman"/>
          <w:i/>
          <w:noProof/>
          <w:sz w:val="24"/>
        </w:rPr>
        <w:t>American Psychologist, 56</w:t>
      </w:r>
      <w:r w:rsidRPr="00930389">
        <w:rPr>
          <w:rFonts w:ascii="Times New Roman" w:hAnsi="Times New Roman" w:cs="Times New Roman"/>
          <w:noProof/>
          <w:sz w:val="24"/>
        </w:rPr>
        <w:t>, 109-118. doi: 10.1037/0003-066x.56.2.109</w:t>
      </w:r>
      <w:bookmarkEnd w:id="30"/>
    </w:p>
    <w:p w:rsidR="00930389" w:rsidRPr="00930389" w:rsidRDefault="00930389" w:rsidP="00930389">
      <w:pPr>
        <w:spacing w:after="0"/>
        <w:ind w:left="720" w:hanging="720"/>
        <w:rPr>
          <w:rFonts w:ascii="Times New Roman" w:hAnsi="Times New Roman" w:cs="Times New Roman"/>
          <w:noProof/>
          <w:sz w:val="24"/>
        </w:rPr>
      </w:pPr>
      <w:bookmarkStart w:id="31" w:name="_ENREF_18"/>
      <w:r w:rsidRPr="00930389">
        <w:rPr>
          <w:rFonts w:ascii="Times New Roman" w:hAnsi="Times New Roman" w:cs="Times New Roman"/>
          <w:noProof/>
          <w:sz w:val="24"/>
        </w:rPr>
        <w:t xml:space="preserve">Hay, D. F. (1994). Prosocial Development. </w:t>
      </w:r>
      <w:r w:rsidRPr="00930389">
        <w:rPr>
          <w:rFonts w:ascii="Times New Roman" w:hAnsi="Times New Roman" w:cs="Times New Roman"/>
          <w:i/>
          <w:noProof/>
          <w:sz w:val="24"/>
        </w:rPr>
        <w:t>Journal of Child Psychology and Psychiatry, 35</w:t>
      </w:r>
      <w:r w:rsidRPr="00930389">
        <w:rPr>
          <w:rFonts w:ascii="Times New Roman" w:hAnsi="Times New Roman" w:cs="Times New Roman"/>
          <w:noProof/>
          <w:sz w:val="24"/>
        </w:rPr>
        <w:t>, 29-71. doi: 10.1111/j.1469-7610.1994.tb01132.x</w:t>
      </w:r>
      <w:bookmarkEnd w:id="31"/>
    </w:p>
    <w:p w:rsidR="00930389" w:rsidRPr="00930389" w:rsidRDefault="00930389" w:rsidP="00930389">
      <w:pPr>
        <w:spacing w:after="0"/>
        <w:ind w:left="720" w:hanging="720"/>
        <w:rPr>
          <w:rFonts w:ascii="Times New Roman" w:hAnsi="Times New Roman" w:cs="Times New Roman"/>
          <w:noProof/>
          <w:sz w:val="24"/>
        </w:rPr>
      </w:pPr>
      <w:bookmarkStart w:id="32" w:name="_ENREF_19"/>
      <w:r w:rsidRPr="00930389">
        <w:rPr>
          <w:rFonts w:ascii="Times New Roman" w:hAnsi="Times New Roman" w:cs="Times New Roman"/>
          <w:noProof/>
          <w:sz w:val="24"/>
        </w:rPr>
        <w:t xml:space="preserve">Helliwell, J. F., &amp; Putnam, R. D. (2004). The social context of well-being. </w:t>
      </w:r>
      <w:r w:rsidRPr="00930389">
        <w:rPr>
          <w:rFonts w:ascii="Times New Roman" w:hAnsi="Times New Roman" w:cs="Times New Roman"/>
          <w:i/>
          <w:noProof/>
          <w:sz w:val="24"/>
        </w:rPr>
        <w:t>Philosophical Transactions of the Royal Society B: Biological Sciences, 359</w:t>
      </w:r>
      <w:r w:rsidRPr="00930389">
        <w:rPr>
          <w:rFonts w:ascii="Times New Roman" w:hAnsi="Times New Roman" w:cs="Times New Roman"/>
          <w:noProof/>
          <w:sz w:val="24"/>
        </w:rPr>
        <w:t>, 1435-1446. doi: 10.1098/rstb.2004.1522</w:t>
      </w:r>
      <w:bookmarkEnd w:id="32"/>
    </w:p>
    <w:p w:rsidR="00930389" w:rsidRPr="00930389" w:rsidRDefault="00930389" w:rsidP="00930389">
      <w:pPr>
        <w:spacing w:after="0"/>
        <w:ind w:left="720" w:hanging="720"/>
        <w:rPr>
          <w:rFonts w:ascii="Times New Roman" w:hAnsi="Times New Roman" w:cs="Times New Roman"/>
          <w:noProof/>
          <w:sz w:val="24"/>
        </w:rPr>
      </w:pPr>
      <w:bookmarkStart w:id="33" w:name="_ENREF_20"/>
      <w:r w:rsidRPr="00930389">
        <w:rPr>
          <w:rFonts w:ascii="Times New Roman" w:hAnsi="Times New Roman" w:cs="Times New Roman"/>
          <w:noProof/>
          <w:sz w:val="24"/>
        </w:rPr>
        <w:t xml:space="preserve">Hill, J. P., &amp; Lynch, M. E. (1983). The intensification of gender-related role expectations during early adolescence. In J. Brooks-Gunn &amp; A. C. Petersen (Eds.), </w:t>
      </w:r>
      <w:r w:rsidRPr="00930389">
        <w:rPr>
          <w:rFonts w:ascii="Times New Roman" w:hAnsi="Times New Roman" w:cs="Times New Roman"/>
          <w:i/>
          <w:noProof/>
          <w:sz w:val="24"/>
        </w:rPr>
        <w:t>Girls at puberty</w:t>
      </w:r>
      <w:r w:rsidRPr="00930389">
        <w:rPr>
          <w:rFonts w:ascii="Times New Roman" w:hAnsi="Times New Roman" w:cs="Times New Roman"/>
          <w:noProof/>
          <w:sz w:val="24"/>
        </w:rPr>
        <w:t xml:space="preserve"> (pp. 201-228). New York: Plenum Press.</w:t>
      </w:r>
      <w:bookmarkEnd w:id="33"/>
    </w:p>
    <w:p w:rsidR="00930389" w:rsidRPr="00930389" w:rsidRDefault="00930389" w:rsidP="00930389">
      <w:pPr>
        <w:spacing w:after="0"/>
        <w:ind w:left="720" w:hanging="720"/>
        <w:rPr>
          <w:rFonts w:ascii="Times New Roman" w:hAnsi="Times New Roman" w:cs="Times New Roman"/>
          <w:noProof/>
          <w:sz w:val="24"/>
        </w:rPr>
      </w:pPr>
      <w:bookmarkStart w:id="34" w:name="_ENREF_21"/>
      <w:r w:rsidRPr="00930389">
        <w:rPr>
          <w:rFonts w:ascii="Times New Roman" w:hAnsi="Times New Roman" w:cs="Times New Roman"/>
          <w:noProof/>
          <w:sz w:val="24"/>
        </w:rPr>
        <w:t xml:space="preserve">Hine, B., &amp; Leman, P. J. (2013). The Developing Relationship between Gender and Prosocial Behavior. In P. J. Leman &amp; H. Tenenbaum (Eds.), </w:t>
      </w:r>
      <w:r w:rsidRPr="00930389">
        <w:rPr>
          <w:rFonts w:ascii="Times New Roman" w:hAnsi="Times New Roman" w:cs="Times New Roman"/>
          <w:i/>
          <w:noProof/>
          <w:sz w:val="24"/>
        </w:rPr>
        <w:t>Gender and Development</w:t>
      </w:r>
      <w:r w:rsidRPr="00930389">
        <w:rPr>
          <w:rFonts w:ascii="Times New Roman" w:hAnsi="Times New Roman" w:cs="Times New Roman"/>
          <w:noProof/>
          <w:sz w:val="24"/>
        </w:rPr>
        <w:t>. Hove: Psychology Press.</w:t>
      </w:r>
      <w:bookmarkEnd w:id="34"/>
    </w:p>
    <w:p w:rsidR="00930389" w:rsidRPr="00930389" w:rsidRDefault="00930389" w:rsidP="00930389">
      <w:pPr>
        <w:spacing w:after="0"/>
        <w:ind w:left="720" w:hanging="720"/>
        <w:rPr>
          <w:rFonts w:ascii="Times New Roman" w:hAnsi="Times New Roman" w:cs="Times New Roman"/>
          <w:noProof/>
          <w:sz w:val="24"/>
        </w:rPr>
      </w:pPr>
      <w:bookmarkStart w:id="35" w:name="_ENREF_22"/>
      <w:r w:rsidRPr="00930389">
        <w:rPr>
          <w:rFonts w:ascii="Times New Roman" w:hAnsi="Times New Roman" w:cs="Times New Roman"/>
          <w:noProof/>
          <w:sz w:val="24"/>
        </w:rPr>
        <w:t xml:space="preserve">Hobday-Kusch, J., &amp; McVittie, J. (2002). Just Clowning around: Classroom Persepctives on Children's Humour. </w:t>
      </w:r>
      <w:r w:rsidRPr="00930389">
        <w:rPr>
          <w:rFonts w:ascii="Times New Roman" w:hAnsi="Times New Roman" w:cs="Times New Roman"/>
          <w:i/>
          <w:noProof/>
          <w:sz w:val="24"/>
        </w:rPr>
        <w:t>Canadian Journal of Education/Revue canadienne de l'éducation, 27</w:t>
      </w:r>
      <w:r w:rsidRPr="00930389">
        <w:rPr>
          <w:rFonts w:ascii="Times New Roman" w:hAnsi="Times New Roman" w:cs="Times New Roman"/>
          <w:noProof/>
          <w:sz w:val="24"/>
        </w:rPr>
        <w:t>, 195-210. doi: 10.2307/1602220</w:t>
      </w:r>
      <w:bookmarkEnd w:id="35"/>
    </w:p>
    <w:p w:rsidR="00930389" w:rsidRPr="00930389" w:rsidRDefault="00930389" w:rsidP="00930389">
      <w:pPr>
        <w:spacing w:after="0"/>
        <w:ind w:left="720" w:hanging="720"/>
        <w:rPr>
          <w:rFonts w:ascii="Times New Roman" w:hAnsi="Times New Roman" w:cs="Times New Roman"/>
          <w:noProof/>
          <w:sz w:val="24"/>
        </w:rPr>
      </w:pPr>
      <w:bookmarkStart w:id="36" w:name="_ENREF_23"/>
      <w:r w:rsidRPr="00930389">
        <w:rPr>
          <w:rFonts w:ascii="Times New Roman" w:hAnsi="Times New Roman" w:cs="Times New Roman"/>
          <w:noProof/>
          <w:sz w:val="24"/>
        </w:rPr>
        <w:t xml:space="preserve">Huston, A. C., &amp; Alvarez, M. M. (1990). The socialization context of gender role development in early adolescence. In R. Motemayor, G. R. Adams &amp; T. P. Gullotta (Eds.), </w:t>
      </w:r>
      <w:r w:rsidRPr="00930389">
        <w:rPr>
          <w:rFonts w:ascii="Times New Roman" w:hAnsi="Times New Roman" w:cs="Times New Roman"/>
          <w:i/>
          <w:noProof/>
          <w:sz w:val="24"/>
        </w:rPr>
        <w:t>From childhood to adolescence: A trasitional period</w:t>
      </w:r>
      <w:r w:rsidRPr="00930389">
        <w:rPr>
          <w:rFonts w:ascii="Times New Roman" w:hAnsi="Times New Roman" w:cs="Times New Roman"/>
          <w:noProof/>
          <w:sz w:val="24"/>
        </w:rPr>
        <w:t xml:space="preserve"> (pp. 156-179). Newbury Park, CA: Sage.</w:t>
      </w:r>
      <w:bookmarkEnd w:id="36"/>
    </w:p>
    <w:p w:rsidR="00930389" w:rsidRPr="00930389" w:rsidRDefault="00930389" w:rsidP="00930389">
      <w:pPr>
        <w:spacing w:after="0"/>
        <w:ind w:left="720" w:hanging="720"/>
        <w:rPr>
          <w:rFonts w:ascii="Times New Roman" w:hAnsi="Times New Roman" w:cs="Times New Roman"/>
          <w:noProof/>
          <w:sz w:val="24"/>
        </w:rPr>
      </w:pPr>
      <w:bookmarkStart w:id="37" w:name="_ENREF_24"/>
      <w:r w:rsidRPr="00930389">
        <w:rPr>
          <w:rFonts w:ascii="Times New Roman" w:hAnsi="Times New Roman" w:cs="Times New Roman"/>
          <w:noProof/>
          <w:sz w:val="24"/>
        </w:rPr>
        <w:t xml:space="preserve">Huuki, T., Manninen, S., &amp; Sunnari, V. (2010). Humour as a resource and strategy for boys to gain status in the field of informal school. </w:t>
      </w:r>
      <w:r w:rsidRPr="00930389">
        <w:rPr>
          <w:rFonts w:ascii="Times New Roman" w:hAnsi="Times New Roman" w:cs="Times New Roman"/>
          <w:i/>
          <w:noProof/>
          <w:sz w:val="24"/>
        </w:rPr>
        <w:t>Gender and Education, 22</w:t>
      </w:r>
      <w:r w:rsidRPr="00930389">
        <w:rPr>
          <w:rFonts w:ascii="Times New Roman" w:hAnsi="Times New Roman" w:cs="Times New Roman"/>
          <w:noProof/>
          <w:sz w:val="24"/>
        </w:rPr>
        <w:t>, 369-383. doi: 10.1080/09540250903352317</w:t>
      </w:r>
      <w:bookmarkEnd w:id="37"/>
    </w:p>
    <w:p w:rsidR="00930389" w:rsidRPr="00930389" w:rsidRDefault="00930389" w:rsidP="00930389">
      <w:pPr>
        <w:spacing w:after="0"/>
        <w:ind w:left="720" w:hanging="720"/>
        <w:rPr>
          <w:rFonts w:ascii="Times New Roman" w:hAnsi="Times New Roman" w:cs="Times New Roman"/>
          <w:noProof/>
          <w:sz w:val="24"/>
        </w:rPr>
      </w:pPr>
      <w:bookmarkStart w:id="38" w:name="_ENREF_25"/>
      <w:r w:rsidRPr="00930389">
        <w:rPr>
          <w:rFonts w:ascii="Times New Roman" w:hAnsi="Times New Roman" w:cs="Times New Roman"/>
          <w:noProof/>
          <w:sz w:val="24"/>
        </w:rPr>
        <w:t xml:space="preserve">Kant, I. (2013). Ethical Theory: An Anthology. In R. Shafer-Landau (Ed.), </w:t>
      </w:r>
      <w:r w:rsidRPr="00930389">
        <w:rPr>
          <w:rFonts w:ascii="Times New Roman" w:hAnsi="Times New Roman" w:cs="Times New Roman"/>
          <w:i/>
          <w:noProof/>
          <w:sz w:val="24"/>
        </w:rPr>
        <w:t>Ethical Theory: An Anthology</w:t>
      </w:r>
      <w:r w:rsidRPr="00930389">
        <w:rPr>
          <w:rFonts w:ascii="Times New Roman" w:hAnsi="Times New Roman" w:cs="Times New Roman"/>
          <w:noProof/>
          <w:sz w:val="24"/>
        </w:rPr>
        <w:t xml:space="preserve"> (pp. 485-498). Oxford, OX: John Wiley &amp; Sons.</w:t>
      </w:r>
      <w:bookmarkEnd w:id="38"/>
    </w:p>
    <w:p w:rsidR="00930389" w:rsidRPr="00930389" w:rsidRDefault="00930389" w:rsidP="00930389">
      <w:pPr>
        <w:spacing w:after="0"/>
        <w:ind w:left="720" w:hanging="720"/>
        <w:rPr>
          <w:rFonts w:ascii="Times New Roman" w:hAnsi="Times New Roman" w:cs="Times New Roman"/>
          <w:noProof/>
          <w:sz w:val="24"/>
        </w:rPr>
      </w:pPr>
      <w:bookmarkStart w:id="39" w:name="_ENREF_26"/>
      <w:r w:rsidRPr="00930389">
        <w:rPr>
          <w:rFonts w:ascii="Times New Roman" w:hAnsi="Times New Roman" w:cs="Times New Roman"/>
          <w:noProof/>
          <w:sz w:val="24"/>
        </w:rPr>
        <w:t xml:space="preserve">Martin, C. L., &amp; Halverson, C. F. (1981). A Schematic Processing Model of Sex Typing and Stereotyping in Children. </w:t>
      </w:r>
      <w:r w:rsidRPr="00930389">
        <w:rPr>
          <w:rFonts w:ascii="Times New Roman" w:hAnsi="Times New Roman" w:cs="Times New Roman"/>
          <w:i/>
          <w:noProof/>
          <w:sz w:val="24"/>
        </w:rPr>
        <w:t>Child Development, 52</w:t>
      </w:r>
      <w:r w:rsidRPr="00930389">
        <w:rPr>
          <w:rFonts w:ascii="Times New Roman" w:hAnsi="Times New Roman" w:cs="Times New Roman"/>
          <w:noProof/>
          <w:sz w:val="24"/>
        </w:rPr>
        <w:t>, 1119-1134. doi: 10.2307/1129498</w:t>
      </w:r>
      <w:bookmarkEnd w:id="39"/>
    </w:p>
    <w:p w:rsidR="00930389" w:rsidRPr="00930389" w:rsidRDefault="00930389" w:rsidP="00930389">
      <w:pPr>
        <w:spacing w:after="0"/>
        <w:ind w:left="720" w:hanging="720"/>
        <w:rPr>
          <w:rFonts w:ascii="Times New Roman" w:hAnsi="Times New Roman" w:cs="Times New Roman"/>
          <w:noProof/>
          <w:sz w:val="24"/>
        </w:rPr>
      </w:pPr>
      <w:bookmarkStart w:id="40" w:name="_ENREF_27"/>
      <w:r w:rsidRPr="00930389">
        <w:rPr>
          <w:rFonts w:ascii="Times New Roman" w:hAnsi="Times New Roman" w:cs="Times New Roman"/>
          <w:noProof/>
          <w:sz w:val="24"/>
        </w:rPr>
        <w:t xml:space="preserve">Martin, C. L., &amp; Ruble, D. N. (2010). Patterns of Gender Development. </w:t>
      </w:r>
      <w:r w:rsidRPr="00930389">
        <w:rPr>
          <w:rFonts w:ascii="Times New Roman" w:hAnsi="Times New Roman" w:cs="Times New Roman"/>
          <w:i/>
          <w:noProof/>
          <w:sz w:val="24"/>
        </w:rPr>
        <w:t>Annual Review of Psychology, 61</w:t>
      </w:r>
      <w:r w:rsidRPr="00930389">
        <w:rPr>
          <w:rFonts w:ascii="Times New Roman" w:hAnsi="Times New Roman" w:cs="Times New Roman"/>
          <w:noProof/>
          <w:sz w:val="24"/>
        </w:rPr>
        <w:t>, 353-381. doi: 10.1146/annurev.psych.093008.100511</w:t>
      </w:r>
      <w:bookmarkEnd w:id="40"/>
    </w:p>
    <w:p w:rsidR="00930389" w:rsidRPr="00930389" w:rsidRDefault="00930389" w:rsidP="00930389">
      <w:pPr>
        <w:spacing w:after="0"/>
        <w:ind w:left="720" w:hanging="720"/>
        <w:rPr>
          <w:rFonts w:ascii="Times New Roman" w:hAnsi="Times New Roman" w:cs="Times New Roman"/>
          <w:noProof/>
          <w:sz w:val="24"/>
        </w:rPr>
      </w:pPr>
      <w:bookmarkStart w:id="41" w:name="_ENREF_28"/>
      <w:r w:rsidRPr="00930389">
        <w:rPr>
          <w:rFonts w:ascii="Times New Roman" w:hAnsi="Times New Roman" w:cs="Times New Roman"/>
          <w:noProof/>
          <w:sz w:val="24"/>
        </w:rPr>
        <w:t xml:space="preserve">McHale, S. M., Shanahan, L., Updegraff, K. A., Crouter, A. C., &amp; Booth, A. (2004). Developmental and individual differences in girls' sex-typed activites in middle childhood and adolescence. </w:t>
      </w:r>
      <w:r w:rsidRPr="00930389">
        <w:rPr>
          <w:rFonts w:ascii="Times New Roman" w:hAnsi="Times New Roman" w:cs="Times New Roman"/>
          <w:i/>
          <w:noProof/>
          <w:sz w:val="24"/>
        </w:rPr>
        <w:t>Child Development, 75</w:t>
      </w:r>
      <w:r w:rsidRPr="00930389">
        <w:rPr>
          <w:rFonts w:ascii="Times New Roman" w:hAnsi="Times New Roman" w:cs="Times New Roman"/>
          <w:noProof/>
          <w:sz w:val="24"/>
        </w:rPr>
        <w:t>, 1575-1593. doi: 10.1111/j.1467-8624.2004.00758.x</w:t>
      </w:r>
      <w:bookmarkEnd w:id="41"/>
    </w:p>
    <w:p w:rsidR="00930389" w:rsidRPr="00930389" w:rsidRDefault="00930389" w:rsidP="00930389">
      <w:pPr>
        <w:spacing w:after="0"/>
        <w:ind w:left="720" w:hanging="720"/>
        <w:rPr>
          <w:rFonts w:ascii="Times New Roman" w:hAnsi="Times New Roman" w:cs="Times New Roman"/>
          <w:noProof/>
          <w:sz w:val="24"/>
        </w:rPr>
      </w:pPr>
      <w:bookmarkStart w:id="42" w:name="_ENREF_29"/>
      <w:r w:rsidRPr="00930389">
        <w:rPr>
          <w:rFonts w:ascii="Times New Roman" w:hAnsi="Times New Roman" w:cs="Times New Roman"/>
          <w:noProof/>
          <w:sz w:val="24"/>
        </w:rPr>
        <w:t xml:space="preserve">Mussen, P., &amp; Eisenberg-Berg, N. (1977). </w:t>
      </w:r>
      <w:r w:rsidRPr="00930389">
        <w:rPr>
          <w:rFonts w:ascii="Times New Roman" w:hAnsi="Times New Roman" w:cs="Times New Roman"/>
          <w:i/>
          <w:noProof/>
          <w:sz w:val="24"/>
        </w:rPr>
        <w:t>Roots of caring, sharing and helping: The development of pro-social behavior in children</w:t>
      </w:r>
      <w:r w:rsidRPr="00930389">
        <w:rPr>
          <w:rFonts w:ascii="Times New Roman" w:hAnsi="Times New Roman" w:cs="Times New Roman"/>
          <w:noProof/>
          <w:sz w:val="24"/>
        </w:rPr>
        <w:t>. San Francisco: WH Freeman.</w:t>
      </w:r>
      <w:bookmarkEnd w:id="42"/>
    </w:p>
    <w:p w:rsidR="00930389" w:rsidRPr="00930389" w:rsidRDefault="00930389" w:rsidP="00930389">
      <w:pPr>
        <w:spacing w:after="0"/>
        <w:ind w:left="720" w:hanging="720"/>
        <w:rPr>
          <w:rFonts w:ascii="Times New Roman" w:hAnsi="Times New Roman" w:cs="Times New Roman"/>
          <w:noProof/>
          <w:sz w:val="24"/>
        </w:rPr>
      </w:pPr>
      <w:bookmarkStart w:id="43" w:name="_ENREF_30"/>
      <w:r w:rsidRPr="00930389">
        <w:rPr>
          <w:rFonts w:ascii="Times New Roman" w:hAnsi="Times New Roman" w:cs="Times New Roman"/>
          <w:noProof/>
          <w:sz w:val="24"/>
        </w:rPr>
        <w:t xml:space="preserve">Opie, I., &amp; Opie, P. (1997). </w:t>
      </w:r>
      <w:r w:rsidRPr="00930389">
        <w:rPr>
          <w:rFonts w:ascii="Times New Roman" w:hAnsi="Times New Roman" w:cs="Times New Roman"/>
          <w:i/>
          <w:noProof/>
          <w:sz w:val="24"/>
        </w:rPr>
        <w:t>The Oxford Dictionary of Nursery Rhymes</w:t>
      </w:r>
      <w:r w:rsidRPr="00930389">
        <w:rPr>
          <w:rFonts w:ascii="Times New Roman" w:hAnsi="Times New Roman" w:cs="Times New Roman"/>
          <w:noProof/>
          <w:sz w:val="24"/>
        </w:rPr>
        <w:t xml:space="preserve"> (2nd ed.). Oxford: Oxford University Press.</w:t>
      </w:r>
      <w:bookmarkEnd w:id="43"/>
    </w:p>
    <w:p w:rsidR="00930389" w:rsidRPr="00930389" w:rsidRDefault="00930389" w:rsidP="00930389">
      <w:pPr>
        <w:spacing w:after="0"/>
        <w:ind w:left="720" w:hanging="720"/>
        <w:rPr>
          <w:rFonts w:ascii="Times New Roman" w:hAnsi="Times New Roman" w:cs="Times New Roman"/>
          <w:noProof/>
          <w:sz w:val="24"/>
        </w:rPr>
      </w:pPr>
      <w:bookmarkStart w:id="44" w:name="_ENREF_31"/>
      <w:r w:rsidRPr="00930389">
        <w:rPr>
          <w:rFonts w:ascii="Times New Roman" w:hAnsi="Times New Roman" w:cs="Times New Roman"/>
          <w:noProof/>
          <w:sz w:val="24"/>
        </w:rPr>
        <w:t xml:space="preserve">Ruble, D. N., &amp; Martin, C. L. (1998). Gender Development. In N. Eisenberg (Ed.), </w:t>
      </w:r>
      <w:r w:rsidRPr="00930389">
        <w:rPr>
          <w:rFonts w:ascii="Times New Roman" w:hAnsi="Times New Roman" w:cs="Times New Roman"/>
          <w:i/>
          <w:noProof/>
          <w:sz w:val="24"/>
        </w:rPr>
        <w:t>Handbook of Child Psychology: Vol. 3, personality and social development</w:t>
      </w:r>
      <w:r w:rsidRPr="00930389">
        <w:rPr>
          <w:rFonts w:ascii="Times New Roman" w:hAnsi="Times New Roman" w:cs="Times New Roman"/>
          <w:noProof/>
          <w:sz w:val="24"/>
        </w:rPr>
        <w:t xml:space="preserve"> (5th ed., pp. 933-1016). New York, NY: Wiley.</w:t>
      </w:r>
      <w:bookmarkEnd w:id="44"/>
    </w:p>
    <w:p w:rsidR="00930389" w:rsidRPr="00930389" w:rsidRDefault="00930389" w:rsidP="00930389">
      <w:pPr>
        <w:spacing w:after="0"/>
        <w:ind w:left="720" w:hanging="720"/>
        <w:rPr>
          <w:rFonts w:ascii="Times New Roman" w:hAnsi="Times New Roman" w:cs="Times New Roman"/>
          <w:noProof/>
          <w:sz w:val="24"/>
        </w:rPr>
      </w:pPr>
      <w:bookmarkStart w:id="45" w:name="_ENREF_32"/>
      <w:r w:rsidRPr="00930389">
        <w:rPr>
          <w:rFonts w:ascii="Times New Roman" w:hAnsi="Times New Roman" w:cs="Times New Roman"/>
          <w:noProof/>
          <w:sz w:val="24"/>
        </w:rPr>
        <w:t xml:space="preserve">Ruble, D. N., Martin, C. L., &amp; Berenbaum, S. (2006). Gender Development. In N. Eisenberg (Ed.), </w:t>
      </w:r>
      <w:r w:rsidRPr="00930389">
        <w:rPr>
          <w:rFonts w:ascii="Times New Roman" w:hAnsi="Times New Roman" w:cs="Times New Roman"/>
          <w:i/>
          <w:noProof/>
          <w:sz w:val="24"/>
        </w:rPr>
        <w:t>Handbook of child psychology: Vol. 3. Social, emotional, and personality development</w:t>
      </w:r>
      <w:r w:rsidRPr="00930389">
        <w:rPr>
          <w:rFonts w:ascii="Times New Roman" w:hAnsi="Times New Roman" w:cs="Times New Roman"/>
          <w:noProof/>
          <w:sz w:val="24"/>
        </w:rPr>
        <w:t xml:space="preserve"> (6th ed., pp. 858-932). New York: Wiley.</w:t>
      </w:r>
      <w:bookmarkEnd w:id="45"/>
    </w:p>
    <w:p w:rsidR="00930389" w:rsidRPr="00930389" w:rsidRDefault="00930389" w:rsidP="00930389">
      <w:pPr>
        <w:spacing w:after="0"/>
        <w:ind w:left="720" w:hanging="720"/>
        <w:rPr>
          <w:rFonts w:ascii="Times New Roman" w:hAnsi="Times New Roman" w:cs="Times New Roman"/>
          <w:noProof/>
          <w:sz w:val="24"/>
        </w:rPr>
      </w:pPr>
      <w:bookmarkStart w:id="46" w:name="_ENREF_33"/>
      <w:r w:rsidRPr="00930389">
        <w:rPr>
          <w:rFonts w:ascii="Times New Roman" w:hAnsi="Times New Roman" w:cs="Times New Roman"/>
          <w:noProof/>
          <w:sz w:val="24"/>
        </w:rPr>
        <w:t xml:space="preserve">Savin-Williams, R. C. (1979). Dominance Hierarchies in Groups of Early Adolescents. </w:t>
      </w:r>
      <w:r w:rsidRPr="00930389">
        <w:rPr>
          <w:rFonts w:ascii="Times New Roman" w:hAnsi="Times New Roman" w:cs="Times New Roman"/>
          <w:i/>
          <w:noProof/>
          <w:sz w:val="24"/>
        </w:rPr>
        <w:t>Child Development, 50</w:t>
      </w:r>
      <w:r w:rsidRPr="00930389">
        <w:rPr>
          <w:rFonts w:ascii="Times New Roman" w:hAnsi="Times New Roman" w:cs="Times New Roman"/>
          <w:noProof/>
          <w:sz w:val="24"/>
        </w:rPr>
        <w:t>, 923-935. doi: 10.2307/1129316</w:t>
      </w:r>
      <w:bookmarkEnd w:id="46"/>
    </w:p>
    <w:p w:rsidR="00930389" w:rsidRPr="00930389" w:rsidRDefault="00930389" w:rsidP="00930389">
      <w:pPr>
        <w:spacing w:after="0"/>
        <w:ind w:left="720" w:hanging="720"/>
        <w:rPr>
          <w:rFonts w:ascii="Times New Roman" w:hAnsi="Times New Roman" w:cs="Times New Roman"/>
          <w:noProof/>
          <w:sz w:val="24"/>
        </w:rPr>
      </w:pPr>
      <w:bookmarkStart w:id="47" w:name="_ENREF_34"/>
      <w:r w:rsidRPr="00930389">
        <w:rPr>
          <w:rFonts w:ascii="Times New Roman" w:hAnsi="Times New Roman" w:cs="Times New Roman"/>
          <w:noProof/>
          <w:sz w:val="24"/>
        </w:rPr>
        <w:t xml:space="preserve">Sletta, O., Søbstad, F., &amp; Valås, H. (1995). Humour, peer acceptance and perceived social competence in preschool and school-aged children. </w:t>
      </w:r>
      <w:r w:rsidRPr="00930389">
        <w:rPr>
          <w:rFonts w:ascii="Times New Roman" w:hAnsi="Times New Roman" w:cs="Times New Roman"/>
          <w:i/>
          <w:noProof/>
          <w:sz w:val="24"/>
        </w:rPr>
        <w:t>British Journal of Educational Psychology, 65</w:t>
      </w:r>
      <w:r w:rsidRPr="00930389">
        <w:rPr>
          <w:rFonts w:ascii="Times New Roman" w:hAnsi="Times New Roman" w:cs="Times New Roman"/>
          <w:noProof/>
          <w:sz w:val="24"/>
        </w:rPr>
        <w:t>, 179-195. doi: 10.1111/j.2044-8279.1995.1b01141.x</w:t>
      </w:r>
      <w:bookmarkEnd w:id="47"/>
    </w:p>
    <w:p w:rsidR="00930389" w:rsidRPr="00930389" w:rsidRDefault="00930389" w:rsidP="00930389">
      <w:pPr>
        <w:spacing w:after="0"/>
        <w:ind w:left="720" w:hanging="720"/>
        <w:rPr>
          <w:rFonts w:ascii="Times New Roman" w:hAnsi="Times New Roman" w:cs="Times New Roman"/>
          <w:noProof/>
          <w:sz w:val="24"/>
        </w:rPr>
      </w:pPr>
      <w:bookmarkStart w:id="48" w:name="_ENREF_35"/>
      <w:r w:rsidRPr="00930389">
        <w:rPr>
          <w:rFonts w:ascii="Times New Roman" w:hAnsi="Times New Roman" w:cs="Times New Roman"/>
          <w:noProof/>
          <w:sz w:val="24"/>
        </w:rPr>
        <w:t xml:space="preserve">Smetana, J. G. (2006). Social-Cognitive Domain Theory: Consistencies, and Variations in Children's Moral and Social Judgments. In M. Killen &amp; J. G. Smetana (Eds.), </w:t>
      </w:r>
      <w:r w:rsidRPr="00930389">
        <w:rPr>
          <w:rFonts w:ascii="Times New Roman" w:hAnsi="Times New Roman" w:cs="Times New Roman"/>
          <w:i/>
          <w:noProof/>
          <w:sz w:val="24"/>
        </w:rPr>
        <w:t>Handbook of Moral Development</w:t>
      </w:r>
      <w:r w:rsidRPr="00930389">
        <w:rPr>
          <w:rFonts w:ascii="Times New Roman" w:hAnsi="Times New Roman" w:cs="Times New Roman"/>
          <w:noProof/>
          <w:sz w:val="24"/>
        </w:rPr>
        <w:t>. New York: Academic.</w:t>
      </w:r>
      <w:bookmarkEnd w:id="48"/>
    </w:p>
    <w:p w:rsidR="00930389" w:rsidRPr="00930389" w:rsidRDefault="00930389" w:rsidP="00930389">
      <w:pPr>
        <w:spacing w:after="0"/>
        <w:ind w:left="720" w:hanging="720"/>
        <w:rPr>
          <w:rFonts w:ascii="Times New Roman" w:hAnsi="Times New Roman" w:cs="Times New Roman"/>
          <w:noProof/>
          <w:sz w:val="24"/>
        </w:rPr>
      </w:pPr>
      <w:bookmarkStart w:id="49" w:name="_ENREF_36"/>
      <w:r w:rsidRPr="00930389">
        <w:rPr>
          <w:rFonts w:ascii="Times New Roman" w:hAnsi="Times New Roman" w:cs="Times New Roman"/>
          <w:noProof/>
          <w:sz w:val="24"/>
        </w:rPr>
        <w:t xml:space="preserve">Spence, J. T., &amp; Buckner, C. E. (2000). Instrumental and expressive traits, trait stereotypes, and sexist attitudes. </w:t>
      </w:r>
      <w:r w:rsidRPr="00930389">
        <w:rPr>
          <w:rFonts w:ascii="Times New Roman" w:hAnsi="Times New Roman" w:cs="Times New Roman"/>
          <w:i/>
          <w:noProof/>
          <w:sz w:val="24"/>
        </w:rPr>
        <w:t>Psychology of Women Quarterly, 24</w:t>
      </w:r>
      <w:r w:rsidRPr="00930389">
        <w:rPr>
          <w:rFonts w:ascii="Times New Roman" w:hAnsi="Times New Roman" w:cs="Times New Roman"/>
          <w:noProof/>
          <w:sz w:val="24"/>
        </w:rPr>
        <w:t>, 44-62. doi: 10.1111/j.1471-6402.2000.tb01021.x</w:t>
      </w:r>
      <w:bookmarkEnd w:id="49"/>
    </w:p>
    <w:p w:rsidR="00930389" w:rsidRPr="00930389" w:rsidRDefault="00930389" w:rsidP="00930389">
      <w:pPr>
        <w:spacing w:after="0"/>
        <w:ind w:left="720" w:hanging="720"/>
        <w:rPr>
          <w:rFonts w:ascii="Times New Roman" w:hAnsi="Times New Roman" w:cs="Times New Roman"/>
          <w:noProof/>
          <w:sz w:val="24"/>
        </w:rPr>
      </w:pPr>
      <w:bookmarkStart w:id="50" w:name="_ENREF_37"/>
      <w:r w:rsidRPr="00930389">
        <w:rPr>
          <w:rFonts w:ascii="Times New Roman" w:hAnsi="Times New Roman" w:cs="Times New Roman"/>
          <w:noProof/>
          <w:sz w:val="24"/>
        </w:rPr>
        <w:t xml:space="preserve">Turiel, E. (1983). </w:t>
      </w:r>
      <w:r w:rsidRPr="00930389">
        <w:rPr>
          <w:rFonts w:ascii="Times New Roman" w:hAnsi="Times New Roman" w:cs="Times New Roman"/>
          <w:i/>
          <w:noProof/>
          <w:sz w:val="24"/>
        </w:rPr>
        <w:t>The development of social knowledge: Morality and convention</w:t>
      </w:r>
      <w:r w:rsidRPr="00930389">
        <w:rPr>
          <w:rFonts w:ascii="Times New Roman" w:hAnsi="Times New Roman" w:cs="Times New Roman"/>
          <w:noProof/>
          <w:sz w:val="24"/>
        </w:rPr>
        <w:t>. Cambridge, England: Cambridge University Press.</w:t>
      </w:r>
      <w:bookmarkEnd w:id="50"/>
    </w:p>
    <w:p w:rsidR="00930389" w:rsidRPr="00930389" w:rsidRDefault="00930389" w:rsidP="00930389">
      <w:pPr>
        <w:spacing w:after="0"/>
        <w:ind w:left="720" w:hanging="720"/>
        <w:rPr>
          <w:rFonts w:ascii="Times New Roman" w:hAnsi="Times New Roman" w:cs="Times New Roman"/>
          <w:noProof/>
          <w:sz w:val="24"/>
        </w:rPr>
      </w:pPr>
      <w:bookmarkStart w:id="51" w:name="_ENREF_38"/>
      <w:r w:rsidRPr="00930389">
        <w:rPr>
          <w:rFonts w:ascii="Times New Roman" w:hAnsi="Times New Roman" w:cs="Times New Roman"/>
          <w:noProof/>
          <w:sz w:val="24"/>
        </w:rPr>
        <w:t xml:space="preserve">Turiel, E. (1998). The development of morality. In N. Eisenberg (Ed.), </w:t>
      </w:r>
      <w:r w:rsidRPr="00930389">
        <w:rPr>
          <w:rFonts w:ascii="Times New Roman" w:hAnsi="Times New Roman" w:cs="Times New Roman"/>
          <w:i/>
          <w:noProof/>
          <w:sz w:val="24"/>
        </w:rPr>
        <w:t>Handbook of child psychology: Vol. 3. Social, emotional, and personality development</w:t>
      </w:r>
      <w:r w:rsidRPr="00930389">
        <w:rPr>
          <w:rFonts w:ascii="Times New Roman" w:hAnsi="Times New Roman" w:cs="Times New Roman"/>
          <w:noProof/>
          <w:sz w:val="24"/>
        </w:rPr>
        <w:t xml:space="preserve"> (5th ed., pp. 863-932). New York: Wiley.</w:t>
      </w:r>
      <w:bookmarkEnd w:id="51"/>
    </w:p>
    <w:p w:rsidR="00930389" w:rsidRPr="00930389" w:rsidRDefault="00930389" w:rsidP="00930389">
      <w:pPr>
        <w:spacing w:after="0"/>
        <w:ind w:left="720" w:hanging="720"/>
        <w:rPr>
          <w:rFonts w:ascii="Times New Roman" w:hAnsi="Times New Roman" w:cs="Times New Roman"/>
          <w:noProof/>
          <w:sz w:val="24"/>
        </w:rPr>
      </w:pPr>
      <w:bookmarkStart w:id="52" w:name="_ENREF_39"/>
      <w:r w:rsidRPr="00930389">
        <w:rPr>
          <w:rFonts w:ascii="Times New Roman" w:hAnsi="Times New Roman" w:cs="Times New Roman"/>
          <w:noProof/>
          <w:sz w:val="24"/>
        </w:rPr>
        <w:t xml:space="preserve">Vaish, A., Missana, M., &amp; Tomasello, M. (2011). Three-year-old children intervene in third-party moral transgressions. </w:t>
      </w:r>
      <w:r w:rsidRPr="00930389">
        <w:rPr>
          <w:rFonts w:ascii="Times New Roman" w:hAnsi="Times New Roman" w:cs="Times New Roman"/>
          <w:i/>
          <w:noProof/>
          <w:sz w:val="24"/>
        </w:rPr>
        <w:t>British Journal of Developmental Psychology, 29</w:t>
      </w:r>
      <w:r w:rsidRPr="00930389">
        <w:rPr>
          <w:rFonts w:ascii="Times New Roman" w:hAnsi="Times New Roman" w:cs="Times New Roman"/>
          <w:noProof/>
          <w:sz w:val="24"/>
        </w:rPr>
        <w:t>, 124-130. doi: 10.1348/026151010x532888</w:t>
      </w:r>
      <w:bookmarkEnd w:id="52"/>
    </w:p>
    <w:p w:rsidR="00930389" w:rsidRPr="00930389" w:rsidRDefault="00930389" w:rsidP="00930389">
      <w:pPr>
        <w:ind w:left="720" w:hanging="720"/>
        <w:rPr>
          <w:rFonts w:ascii="Times New Roman" w:hAnsi="Times New Roman" w:cs="Times New Roman"/>
          <w:noProof/>
          <w:sz w:val="24"/>
        </w:rPr>
      </w:pPr>
      <w:bookmarkStart w:id="53" w:name="_ENREF_40"/>
      <w:r w:rsidRPr="00930389">
        <w:rPr>
          <w:rFonts w:ascii="Times New Roman" w:hAnsi="Times New Roman" w:cs="Times New Roman"/>
          <w:noProof/>
          <w:sz w:val="24"/>
        </w:rPr>
        <w:t xml:space="preserve">Zarbatany, L., Hartmann, D. P., Gelfand, D. M., &amp; Vinciguerra, P. (1985). Gender Differences in Altruistic Reputation: Are They Artifactual? </w:t>
      </w:r>
      <w:r w:rsidRPr="00930389">
        <w:rPr>
          <w:rFonts w:ascii="Times New Roman" w:hAnsi="Times New Roman" w:cs="Times New Roman"/>
          <w:i/>
          <w:noProof/>
          <w:sz w:val="24"/>
        </w:rPr>
        <w:t>Developmental Psychology, 21</w:t>
      </w:r>
      <w:r w:rsidRPr="00930389">
        <w:rPr>
          <w:rFonts w:ascii="Times New Roman" w:hAnsi="Times New Roman" w:cs="Times New Roman"/>
          <w:noProof/>
          <w:sz w:val="24"/>
        </w:rPr>
        <w:t>, 97-101. doi: 10.1037/0012-1649.21.1.97</w:t>
      </w:r>
      <w:bookmarkEnd w:id="53"/>
    </w:p>
    <w:p w:rsidR="00930389" w:rsidRDefault="00930389" w:rsidP="00930389">
      <w:pPr>
        <w:rPr>
          <w:rFonts w:ascii="Times New Roman" w:hAnsi="Times New Roman" w:cs="Times New Roman"/>
          <w:noProof/>
          <w:sz w:val="24"/>
        </w:rPr>
      </w:pPr>
    </w:p>
    <w:p w:rsidR="006C210B" w:rsidRDefault="00423284" w:rsidP="00612B8A">
      <w:pPr>
        <w:spacing w:after="120"/>
        <w:contextualSpacing/>
      </w:pPr>
      <w:r>
        <w:fldChar w:fldCharType="end"/>
      </w:r>
    </w:p>
    <w:p w:rsidR="0099068E" w:rsidRPr="00423284" w:rsidRDefault="0099068E" w:rsidP="00612B8A">
      <w:pPr>
        <w:spacing w:after="120"/>
        <w:contextualSpacing/>
      </w:pPr>
    </w:p>
    <w:sectPr w:rsidR="0099068E" w:rsidRPr="00423284" w:rsidSect="000F27D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FB" w:rsidRDefault="00A33AFB" w:rsidP="00423284">
      <w:pPr>
        <w:spacing w:after="0" w:line="240" w:lineRule="auto"/>
      </w:pPr>
      <w:r>
        <w:separator/>
      </w:r>
    </w:p>
  </w:endnote>
  <w:endnote w:type="continuationSeparator" w:id="0">
    <w:p w:rsidR="00A33AFB" w:rsidRDefault="00A33AFB" w:rsidP="0042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FB" w:rsidRDefault="00A33AFB" w:rsidP="00423284">
      <w:pPr>
        <w:spacing w:after="0" w:line="240" w:lineRule="auto"/>
      </w:pPr>
      <w:r>
        <w:separator/>
      </w:r>
    </w:p>
  </w:footnote>
  <w:footnote w:type="continuationSeparator" w:id="0">
    <w:p w:rsidR="00A33AFB" w:rsidRDefault="00A33AFB" w:rsidP="00423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11451"/>
      <w:docPartObj>
        <w:docPartGallery w:val="Page Numbers (Top of Page)"/>
        <w:docPartUnique/>
      </w:docPartObj>
    </w:sdtPr>
    <w:sdtEndPr>
      <w:rPr>
        <w:noProof/>
      </w:rPr>
    </w:sdtEndPr>
    <w:sdtContent>
      <w:p w:rsidR="00A33AFB" w:rsidRDefault="00A33AFB">
        <w:pPr>
          <w:pStyle w:val="Header"/>
          <w:jc w:val="right"/>
        </w:pPr>
        <w:r>
          <w:t xml:space="preserve"> </w:t>
        </w:r>
        <w:r>
          <w:rPr>
            <w:sz w:val="24"/>
          </w:rPr>
          <w:t xml:space="preserve">Gender-Typing of Prosocial Behaviour </w:t>
        </w:r>
        <w:r>
          <w:fldChar w:fldCharType="begin"/>
        </w:r>
        <w:r>
          <w:instrText xml:space="preserve"> PAGE   \* MERGEFORMAT </w:instrText>
        </w:r>
        <w:r>
          <w:fldChar w:fldCharType="separate"/>
        </w:r>
        <w:r w:rsidR="00E34F3D">
          <w:rPr>
            <w:noProof/>
          </w:rPr>
          <w:t>4</w:t>
        </w:r>
        <w:r>
          <w:rPr>
            <w:noProof/>
          </w:rPr>
          <w:fldChar w:fldCharType="end"/>
        </w:r>
      </w:p>
    </w:sdtContent>
  </w:sdt>
  <w:p w:rsidR="00A33AFB" w:rsidRDefault="00A33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11709"/>
    <w:multiLevelType w:val="hybridMultilevel"/>
    <w:tmpl w:val="C6A2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f5p9zd5zqsratqef5sv5pz2wpve092vrdw52&quot;&gt;My EndNote Library&lt;record-ids&gt;&lt;item&gt;39&lt;/item&gt;&lt;item&gt;84&lt;/item&gt;&lt;item&gt;86&lt;/item&gt;&lt;item&gt;100&lt;/item&gt;&lt;item&gt;105&lt;/item&gt;&lt;item&gt;113&lt;/item&gt;&lt;item&gt;121&lt;/item&gt;&lt;item&gt;122&lt;/item&gt;&lt;item&gt;162&lt;/item&gt;&lt;item&gt;163&lt;/item&gt;&lt;item&gt;164&lt;/item&gt;&lt;item&gt;171&lt;/item&gt;&lt;item&gt;174&lt;/item&gt;&lt;item&gt;183&lt;/item&gt;&lt;item&gt;203&lt;/item&gt;&lt;item&gt;217&lt;/item&gt;&lt;item&gt;224&lt;/item&gt;&lt;item&gt;225&lt;/item&gt;&lt;item&gt;229&lt;/item&gt;&lt;item&gt;254&lt;/item&gt;&lt;item&gt;288&lt;/item&gt;&lt;item&gt;305&lt;/item&gt;&lt;item&gt;344&lt;/item&gt;&lt;item&gt;347&lt;/item&gt;&lt;item&gt;355&lt;/item&gt;&lt;item&gt;392&lt;/item&gt;&lt;item&gt;462&lt;/item&gt;&lt;item&gt;546&lt;/item&gt;&lt;item&gt;547&lt;/item&gt;&lt;item&gt;549&lt;/item&gt;&lt;item&gt;550&lt;/item&gt;&lt;item&gt;551&lt;/item&gt;&lt;item&gt;555&lt;/item&gt;&lt;item&gt;556&lt;/item&gt;&lt;item&gt;727&lt;/item&gt;&lt;item&gt;728&lt;/item&gt;&lt;item&gt;775&lt;/item&gt;&lt;item&gt;776&lt;/item&gt;&lt;item&gt;777&lt;/item&gt;&lt;item&gt;778&lt;/item&gt;&lt;/record-ids&gt;&lt;/item&gt;&lt;/Libraries&gt;"/>
  </w:docVars>
  <w:rsids>
    <w:rsidRoot w:val="00210B12"/>
    <w:rsid w:val="00013C17"/>
    <w:rsid w:val="000141AC"/>
    <w:rsid w:val="000244AC"/>
    <w:rsid w:val="00043098"/>
    <w:rsid w:val="000544ED"/>
    <w:rsid w:val="00056751"/>
    <w:rsid w:val="0006732C"/>
    <w:rsid w:val="00080B59"/>
    <w:rsid w:val="000961F7"/>
    <w:rsid w:val="000B7D89"/>
    <w:rsid w:val="000D5186"/>
    <w:rsid w:val="000F27D8"/>
    <w:rsid w:val="00101632"/>
    <w:rsid w:val="00106C72"/>
    <w:rsid w:val="00107B72"/>
    <w:rsid w:val="00114778"/>
    <w:rsid w:val="00120F87"/>
    <w:rsid w:val="001306BD"/>
    <w:rsid w:val="00147C14"/>
    <w:rsid w:val="00153CC1"/>
    <w:rsid w:val="00163813"/>
    <w:rsid w:val="001709CA"/>
    <w:rsid w:val="00177B06"/>
    <w:rsid w:val="0018428E"/>
    <w:rsid w:val="00195F2B"/>
    <w:rsid w:val="001A4943"/>
    <w:rsid w:val="001B581C"/>
    <w:rsid w:val="001B7494"/>
    <w:rsid w:val="001D4E61"/>
    <w:rsid w:val="001F3105"/>
    <w:rsid w:val="00202AF7"/>
    <w:rsid w:val="00203E9A"/>
    <w:rsid w:val="00210B12"/>
    <w:rsid w:val="002617EE"/>
    <w:rsid w:val="00262861"/>
    <w:rsid w:val="00271FDC"/>
    <w:rsid w:val="00273076"/>
    <w:rsid w:val="00280F93"/>
    <w:rsid w:val="00296821"/>
    <w:rsid w:val="002A7F75"/>
    <w:rsid w:val="002C3BF5"/>
    <w:rsid w:val="002C5ADC"/>
    <w:rsid w:val="002C5FEC"/>
    <w:rsid w:val="003221EF"/>
    <w:rsid w:val="00322318"/>
    <w:rsid w:val="00324068"/>
    <w:rsid w:val="003404EE"/>
    <w:rsid w:val="00350FBB"/>
    <w:rsid w:val="003972B5"/>
    <w:rsid w:val="003A0253"/>
    <w:rsid w:val="003C7159"/>
    <w:rsid w:val="003D0A4B"/>
    <w:rsid w:val="003D7D52"/>
    <w:rsid w:val="003F2843"/>
    <w:rsid w:val="00402293"/>
    <w:rsid w:val="00407C43"/>
    <w:rsid w:val="00423284"/>
    <w:rsid w:val="00424D1D"/>
    <w:rsid w:val="00443FA6"/>
    <w:rsid w:val="004448E8"/>
    <w:rsid w:val="0044633E"/>
    <w:rsid w:val="0045382A"/>
    <w:rsid w:val="00460B97"/>
    <w:rsid w:val="0046123C"/>
    <w:rsid w:val="004962AB"/>
    <w:rsid w:val="004A1003"/>
    <w:rsid w:val="004B248F"/>
    <w:rsid w:val="004B532D"/>
    <w:rsid w:val="004C5765"/>
    <w:rsid w:val="004E09BE"/>
    <w:rsid w:val="004E4E04"/>
    <w:rsid w:val="004E63C5"/>
    <w:rsid w:val="004F72F9"/>
    <w:rsid w:val="00516C0E"/>
    <w:rsid w:val="00537499"/>
    <w:rsid w:val="00542E41"/>
    <w:rsid w:val="005444C6"/>
    <w:rsid w:val="00576C9D"/>
    <w:rsid w:val="00577A5F"/>
    <w:rsid w:val="005871F6"/>
    <w:rsid w:val="0059180E"/>
    <w:rsid w:val="00592469"/>
    <w:rsid w:val="005A544A"/>
    <w:rsid w:val="005B2585"/>
    <w:rsid w:val="005B292C"/>
    <w:rsid w:val="005C02E1"/>
    <w:rsid w:val="005D2B40"/>
    <w:rsid w:val="00605C17"/>
    <w:rsid w:val="00612B8A"/>
    <w:rsid w:val="00630A05"/>
    <w:rsid w:val="006322E7"/>
    <w:rsid w:val="00634F9A"/>
    <w:rsid w:val="0067033A"/>
    <w:rsid w:val="006867A6"/>
    <w:rsid w:val="006941DB"/>
    <w:rsid w:val="006959F6"/>
    <w:rsid w:val="006A2731"/>
    <w:rsid w:val="006B0597"/>
    <w:rsid w:val="006C210B"/>
    <w:rsid w:val="006E5C4E"/>
    <w:rsid w:val="006E70EC"/>
    <w:rsid w:val="006F3A23"/>
    <w:rsid w:val="00710EDE"/>
    <w:rsid w:val="00717A5F"/>
    <w:rsid w:val="00720ACA"/>
    <w:rsid w:val="0073061B"/>
    <w:rsid w:val="007728A6"/>
    <w:rsid w:val="007814F2"/>
    <w:rsid w:val="007A2A0C"/>
    <w:rsid w:val="007A68A2"/>
    <w:rsid w:val="007C733E"/>
    <w:rsid w:val="00803467"/>
    <w:rsid w:val="00822BEA"/>
    <w:rsid w:val="00826793"/>
    <w:rsid w:val="00832DB8"/>
    <w:rsid w:val="00842765"/>
    <w:rsid w:val="00842984"/>
    <w:rsid w:val="008634CB"/>
    <w:rsid w:val="00875DFD"/>
    <w:rsid w:val="0088250F"/>
    <w:rsid w:val="00883E8D"/>
    <w:rsid w:val="00896A9A"/>
    <w:rsid w:val="008A24E4"/>
    <w:rsid w:val="008A4C10"/>
    <w:rsid w:val="008B0289"/>
    <w:rsid w:val="008C65AA"/>
    <w:rsid w:val="008D6F7D"/>
    <w:rsid w:val="00912949"/>
    <w:rsid w:val="009251B3"/>
    <w:rsid w:val="00930389"/>
    <w:rsid w:val="00935F5A"/>
    <w:rsid w:val="00936660"/>
    <w:rsid w:val="00956268"/>
    <w:rsid w:val="009603B1"/>
    <w:rsid w:val="00965FA8"/>
    <w:rsid w:val="00974BA6"/>
    <w:rsid w:val="0098644E"/>
    <w:rsid w:val="0099068E"/>
    <w:rsid w:val="009A344A"/>
    <w:rsid w:val="009A430C"/>
    <w:rsid w:val="009A5CCA"/>
    <w:rsid w:val="009C4DE9"/>
    <w:rsid w:val="009D1910"/>
    <w:rsid w:val="009F0FB0"/>
    <w:rsid w:val="009F4FBE"/>
    <w:rsid w:val="009F7E56"/>
    <w:rsid w:val="00A04D7A"/>
    <w:rsid w:val="00A31158"/>
    <w:rsid w:val="00A33AFB"/>
    <w:rsid w:val="00A75E22"/>
    <w:rsid w:val="00A94A8A"/>
    <w:rsid w:val="00AB1A2C"/>
    <w:rsid w:val="00AB31A6"/>
    <w:rsid w:val="00AC422F"/>
    <w:rsid w:val="00AE5C54"/>
    <w:rsid w:val="00B002BD"/>
    <w:rsid w:val="00B05B19"/>
    <w:rsid w:val="00B06E84"/>
    <w:rsid w:val="00B15C32"/>
    <w:rsid w:val="00B24582"/>
    <w:rsid w:val="00B366BB"/>
    <w:rsid w:val="00B531A3"/>
    <w:rsid w:val="00B53914"/>
    <w:rsid w:val="00B606F6"/>
    <w:rsid w:val="00B61040"/>
    <w:rsid w:val="00B74209"/>
    <w:rsid w:val="00B830DC"/>
    <w:rsid w:val="00B84A05"/>
    <w:rsid w:val="00BB502D"/>
    <w:rsid w:val="00BC5A33"/>
    <w:rsid w:val="00BC6C93"/>
    <w:rsid w:val="00BC7C84"/>
    <w:rsid w:val="00BD393F"/>
    <w:rsid w:val="00BE1F9A"/>
    <w:rsid w:val="00BE3057"/>
    <w:rsid w:val="00BE75CD"/>
    <w:rsid w:val="00BF08E0"/>
    <w:rsid w:val="00BF42A3"/>
    <w:rsid w:val="00C02DA6"/>
    <w:rsid w:val="00C205AD"/>
    <w:rsid w:val="00C24EB9"/>
    <w:rsid w:val="00C53BD7"/>
    <w:rsid w:val="00C65BCF"/>
    <w:rsid w:val="00C728E8"/>
    <w:rsid w:val="00C7411A"/>
    <w:rsid w:val="00C81974"/>
    <w:rsid w:val="00C87C14"/>
    <w:rsid w:val="00C87E1A"/>
    <w:rsid w:val="00CA7DF2"/>
    <w:rsid w:val="00CB3C87"/>
    <w:rsid w:val="00CB4F98"/>
    <w:rsid w:val="00CE4900"/>
    <w:rsid w:val="00D045D2"/>
    <w:rsid w:val="00D05701"/>
    <w:rsid w:val="00D06886"/>
    <w:rsid w:val="00D06BF6"/>
    <w:rsid w:val="00D124B1"/>
    <w:rsid w:val="00D143BF"/>
    <w:rsid w:val="00D1791D"/>
    <w:rsid w:val="00D2526D"/>
    <w:rsid w:val="00D3166E"/>
    <w:rsid w:val="00D35C76"/>
    <w:rsid w:val="00D414F0"/>
    <w:rsid w:val="00D478D5"/>
    <w:rsid w:val="00D53BD3"/>
    <w:rsid w:val="00D63985"/>
    <w:rsid w:val="00D673F7"/>
    <w:rsid w:val="00D70BE8"/>
    <w:rsid w:val="00D75439"/>
    <w:rsid w:val="00D76FE6"/>
    <w:rsid w:val="00D77B05"/>
    <w:rsid w:val="00D951DE"/>
    <w:rsid w:val="00DD151B"/>
    <w:rsid w:val="00DF21C8"/>
    <w:rsid w:val="00E043E8"/>
    <w:rsid w:val="00E1005A"/>
    <w:rsid w:val="00E2075C"/>
    <w:rsid w:val="00E31E0F"/>
    <w:rsid w:val="00E34F3D"/>
    <w:rsid w:val="00E364E3"/>
    <w:rsid w:val="00E5109F"/>
    <w:rsid w:val="00E54CCC"/>
    <w:rsid w:val="00E575BE"/>
    <w:rsid w:val="00E622F3"/>
    <w:rsid w:val="00E67168"/>
    <w:rsid w:val="00E70203"/>
    <w:rsid w:val="00E73CCF"/>
    <w:rsid w:val="00E82B91"/>
    <w:rsid w:val="00E94B42"/>
    <w:rsid w:val="00EA58B9"/>
    <w:rsid w:val="00EB5692"/>
    <w:rsid w:val="00EB5B9A"/>
    <w:rsid w:val="00EC0EDA"/>
    <w:rsid w:val="00EC5006"/>
    <w:rsid w:val="00EE2888"/>
    <w:rsid w:val="00EE43C7"/>
    <w:rsid w:val="00EE53E0"/>
    <w:rsid w:val="00EE7997"/>
    <w:rsid w:val="00F1411F"/>
    <w:rsid w:val="00F26019"/>
    <w:rsid w:val="00F33402"/>
    <w:rsid w:val="00F36732"/>
    <w:rsid w:val="00F45214"/>
    <w:rsid w:val="00F51DF5"/>
    <w:rsid w:val="00F57428"/>
    <w:rsid w:val="00F81B91"/>
    <w:rsid w:val="00F94F8C"/>
    <w:rsid w:val="00F95460"/>
    <w:rsid w:val="00FA6AB8"/>
    <w:rsid w:val="00FA6D2F"/>
    <w:rsid w:val="00FB5BA6"/>
    <w:rsid w:val="00FC0E86"/>
    <w:rsid w:val="00FC1EF9"/>
    <w:rsid w:val="00FD754C"/>
    <w:rsid w:val="00FE19C9"/>
    <w:rsid w:val="00FE26CD"/>
    <w:rsid w:val="00FF2004"/>
    <w:rsid w:val="00FF3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09"/>
    <w:pPr>
      <w:spacing w:before="120" w:line="480" w:lineRule="auto"/>
    </w:pPr>
  </w:style>
  <w:style w:type="paragraph" w:styleId="Heading1">
    <w:name w:val="heading 1"/>
    <w:basedOn w:val="Normal"/>
    <w:next w:val="Normal"/>
    <w:link w:val="Heading1Char"/>
    <w:uiPriority w:val="9"/>
    <w:qFormat/>
    <w:rsid w:val="00826793"/>
    <w:pPr>
      <w:keepNext/>
      <w:keepLines/>
      <w:spacing w:before="480" w:after="0"/>
      <w:jc w:val="center"/>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8D6F7D"/>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8D6F7D"/>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793"/>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8D6F7D"/>
    <w:rPr>
      <w:rFonts w:asciiTheme="majorHAnsi" w:eastAsiaTheme="majorEastAsia" w:hAnsiTheme="majorHAnsi" w:cstheme="majorBidi"/>
      <w:b/>
      <w:bCs/>
      <w:color w:val="000000" w:themeColor="accent1"/>
      <w:sz w:val="26"/>
      <w:szCs w:val="26"/>
    </w:rPr>
  </w:style>
  <w:style w:type="character" w:customStyle="1" w:styleId="Heading3Char">
    <w:name w:val="Heading 3 Char"/>
    <w:basedOn w:val="DefaultParagraphFont"/>
    <w:link w:val="Heading3"/>
    <w:uiPriority w:val="9"/>
    <w:rsid w:val="008D6F7D"/>
    <w:rPr>
      <w:rFonts w:asciiTheme="majorHAnsi" w:eastAsiaTheme="majorEastAsia" w:hAnsiTheme="majorHAnsi" w:cstheme="majorBidi"/>
      <w:b/>
      <w:bCs/>
      <w:color w:val="000000" w:themeColor="accent1"/>
    </w:rPr>
  </w:style>
  <w:style w:type="paragraph" w:styleId="Header">
    <w:name w:val="header"/>
    <w:basedOn w:val="Normal"/>
    <w:link w:val="HeaderChar"/>
    <w:uiPriority w:val="99"/>
    <w:unhideWhenUsed/>
    <w:rsid w:val="008D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7D"/>
  </w:style>
  <w:style w:type="paragraph" w:styleId="Footer">
    <w:name w:val="footer"/>
    <w:basedOn w:val="Normal"/>
    <w:link w:val="FooterChar"/>
    <w:uiPriority w:val="99"/>
    <w:unhideWhenUsed/>
    <w:rsid w:val="008D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7D"/>
  </w:style>
  <w:style w:type="paragraph" w:styleId="Title">
    <w:name w:val="Title"/>
    <w:basedOn w:val="Normal"/>
    <w:next w:val="Normal"/>
    <w:link w:val="TitleChar"/>
    <w:uiPriority w:val="10"/>
    <w:qFormat/>
    <w:rsid w:val="008D6F7D"/>
    <w:pPr>
      <w:pBdr>
        <w:bottom w:val="single" w:sz="8" w:space="4" w:color="000000"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F7D"/>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8D6F7D"/>
    <w:pPr>
      <w:outlineLvl w:val="9"/>
    </w:pPr>
    <w:rPr>
      <w:lang w:val="en-US"/>
    </w:rPr>
  </w:style>
  <w:style w:type="paragraph" w:styleId="TOC1">
    <w:name w:val="toc 1"/>
    <w:basedOn w:val="Normal"/>
    <w:next w:val="Normal"/>
    <w:autoRedefine/>
    <w:uiPriority w:val="39"/>
    <w:unhideWhenUsed/>
    <w:rsid w:val="008D6F7D"/>
    <w:pPr>
      <w:spacing w:after="100"/>
    </w:pPr>
  </w:style>
  <w:style w:type="paragraph" w:styleId="TOC2">
    <w:name w:val="toc 2"/>
    <w:basedOn w:val="Normal"/>
    <w:next w:val="Normal"/>
    <w:autoRedefine/>
    <w:uiPriority w:val="39"/>
    <w:unhideWhenUsed/>
    <w:rsid w:val="008D6F7D"/>
    <w:pPr>
      <w:spacing w:after="100"/>
      <w:ind w:left="220"/>
    </w:pPr>
  </w:style>
  <w:style w:type="character" w:styleId="Hyperlink">
    <w:name w:val="Hyperlink"/>
    <w:basedOn w:val="DefaultParagraphFont"/>
    <w:uiPriority w:val="99"/>
    <w:unhideWhenUsed/>
    <w:rsid w:val="008D6F7D"/>
    <w:rPr>
      <w:color w:val="000000" w:themeColor="hyperlink"/>
      <w:u w:val="single"/>
    </w:rPr>
  </w:style>
  <w:style w:type="paragraph" w:styleId="BalloonText">
    <w:name w:val="Balloon Text"/>
    <w:basedOn w:val="Normal"/>
    <w:link w:val="BalloonTextChar"/>
    <w:uiPriority w:val="99"/>
    <w:semiHidden/>
    <w:unhideWhenUsed/>
    <w:rsid w:val="008D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F7D"/>
    <w:rPr>
      <w:rFonts w:ascii="Tahoma" w:hAnsi="Tahoma" w:cs="Tahoma"/>
      <w:sz w:val="16"/>
      <w:szCs w:val="16"/>
    </w:rPr>
  </w:style>
  <w:style w:type="paragraph" w:styleId="TOC3">
    <w:name w:val="toc 3"/>
    <w:basedOn w:val="Normal"/>
    <w:next w:val="Normal"/>
    <w:autoRedefine/>
    <w:uiPriority w:val="39"/>
    <w:unhideWhenUsed/>
    <w:rsid w:val="008D6F7D"/>
    <w:pPr>
      <w:tabs>
        <w:tab w:val="right" w:leader="dot" w:pos="9016"/>
      </w:tabs>
      <w:spacing w:after="100"/>
      <w:ind w:left="440"/>
    </w:pPr>
  </w:style>
  <w:style w:type="character" w:styleId="CommentReference">
    <w:name w:val="annotation reference"/>
    <w:basedOn w:val="DefaultParagraphFont"/>
    <w:uiPriority w:val="99"/>
    <w:semiHidden/>
    <w:unhideWhenUsed/>
    <w:rsid w:val="008D6F7D"/>
    <w:rPr>
      <w:sz w:val="16"/>
      <w:szCs w:val="16"/>
    </w:rPr>
  </w:style>
  <w:style w:type="paragraph" w:styleId="CommentText">
    <w:name w:val="annotation text"/>
    <w:basedOn w:val="Normal"/>
    <w:link w:val="CommentTextChar"/>
    <w:uiPriority w:val="99"/>
    <w:semiHidden/>
    <w:unhideWhenUsed/>
    <w:rsid w:val="008D6F7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8D6F7D"/>
    <w:rPr>
      <w:rFonts w:eastAsiaTheme="minorEastAsia"/>
      <w:sz w:val="20"/>
      <w:szCs w:val="20"/>
      <w:lang w:eastAsia="en-GB"/>
    </w:rPr>
  </w:style>
  <w:style w:type="table" w:styleId="TableGrid">
    <w:name w:val="Table Grid"/>
    <w:basedOn w:val="TableNormal"/>
    <w:uiPriority w:val="59"/>
    <w:rsid w:val="008D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F7D"/>
    <w:pPr>
      <w:ind w:left="720"/>
      <w:contextualSpacing/>
    </w:pPr>
    <w:rPr>
      <w:rFonts w:eastAsiaTheme="minorEastAsia"/>
      <w:lang w:eastAsia="en-GB"/>
    </w:rPr>
  </w:style>
  <w:style w:type="paragraph" w:styleId="NoSpacing">
    <w:name w:val="No Spacing"/>
    <w:uiPriority w:val="1"/>
    <w:qFormat/>
    <w:rsid w:val="008D6F7D"/>
    <w:pPr>
      <w:spacing w:after="0" w:line="240" w:lineRule="auto"/>
    </w:pPr>
  </w:style>
  <w:style w:type="paragraph" w:styleId="Caption">
    <w:name w:val="caption"/>
    <w:basedOn w:val="Normal"/>
    <w:next w:val="Normal"/>
    <w:uiPriority w:val="35"/>
    <w:unhideWhenUsed/>
    <w:qFormat/>
    <w:rsid w:val="008D6F7D"/>
    <w:pPr>
      <w:spacing w:line="240" w:lineRule="auto"/>
    </w:pPr>
    <w:rPr>
      <w:b/>
      <w:bCs/>
      <w:color w:val="000000" w:themeColor="accent1"/>
      <w:sz w:val="18"/>
      <w:szCs w:val="18"/>
    </w:rPr>
  </w:style>
  <w:style w:type="paragraph" w:styleId="CommentSubject">
    <w:name w:val="annotation subject"/>
    <w:basedOn w:val="CommentText"/>
    <w:next w:val="CommentText"/>
    <w:link w:val="CommentSubjectChar"/>
    <w:uiPriority w:val="99"/>
    <w:semiHidden/>
    <w:unhideWhenUsed/>
    <w:rsid w:val="008D6F7D"/>
    <w:rPr>
      <w:rFonts w:eastAsiaTheme="minorHAnsi"/>
      <w:b/>
      <w:bCs/>
      <w:lang w:eastAsia="en-US"/>
    </w:rPr>
  </w:style>
  <w:style w:type="character" w:customStyle="1" w:styleId="CommentSubjectChar">
    <w:name w:val="Comment Subject Char"/>
    <w:basedOn w:val="CommentTextChar"/>
    <w:link w:val="CommentSubject"/>
    <w:uiPriority w:val="99"/>
    <w:semiHidden/>
    <w:rsid w:val="008D6F7D"/>
    <w:rPr>
      <w:rFonts w:eastAsiaTheme="minorEastAsia"/>
      <w:b/>
      <w:bCs/>
      <w:sz w:val="20"/>
      <w:szCs w:val="20"/>
      <w:lang w:eastAsia="en-GB"/>
    </w:rPr>
  </w:style>
  <w:style w:type="character" w:styleId="LineNumber">
    <w:name w:val="line number"/>
    <w:basedOn w:val="DefaultParagraphFont"/>
    <w:uiPriority w:val="99"/>
    <w:semiHidden/>
    <w:unhideWhenUsed/>
    <w:rsid w:val="00A3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09"/>
    <w:pPr>
      <w:spacing w:before="120" w:line="480" w:lineRule="auto"/>
    </w:pPr>
  </w:style>
  <w:style w:type="paragraph" w:styleId="Heading1">
    <w:name w:val="heading 1"/>
    <w:basedOn w:val="Normal"/>
    <w:next w:val="Normal"/>
    <w:link w:val="Heading1Char"/>
    <w:uiPriority w:val="9"/>
    <w:qFormat/>
    <w:rsid w:val="00826793"/>
    <w:pPr>
      <w:keepNext/>
      <w:keepLines/>
      <w:spacing w:before="480" w:after="0"/>
      <w:jc w:val="center"/>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8D6F7D"/>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8D6F7D"/>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793"/>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8D6F7D"/>
    <w:rPr>
      <w:rFonts w:asciiTheme="majorHAnsi" w:eastAsiaTheme="majorEastAsia" w:hAnsiTheme="majorHAnsi" w:cstheme="majorBidi"/>
      <w:b/>
      <w:bCs/>
      <w:color w:val="000000" w:themeColor="accent1"/>
      <w:sz w:val="26"/>
      <w:szCs w:val="26"/>
    </w:rPr>
  </w:style>
  <w:style w:type="character" w:customStyle="1" w:styleId="Heading3Char">
    <w:name w:val="Heading 3 Char"/>
    <w:basedOn w:val="DefaultParagraphFont"/>
    <w:link w:val="Heading3"/>
    <w:uiPriority w:val="9"/>
    <w:rsid w:val="008D6F7D"/>
    <w:rPr>
      <w:rFonts w:asciiTheme="majorHAnsi" w:eastAsiaTheme="majorEastAsia" w:hAnsiTheme="majorHAnsi" w:cstheme="majorBidi"/>
      <w:b/>
      <w:bCs/>
      <w:color w:val="000000" w:themeColor="accent1"/>
    </w:rPr>
  </w:style>
  <w:style w:type="paragraph" w:styleId="Header">
    <w:name w:val="header"/>
    <w:basedOn w:val="Normal"/>
    <w:link w:val="HeaderChar"/>
    <w:uiPriority w:val="99"/>
    <w:unhideWhenUsed/>
    <w:rsid w:val="008D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7D"/>
  </w:style>
  <w:style w:type="paragraph" w:styleId="Footer">
    <w:name w:val="footer"/>
    <w:basedOn w:val="Normal"/>
    <w:link w:val="FooterChar"/>
    <w:uiPriority w:val="99"/>
    <w:unhideWhenUsed/>
    <w:rsid w:val="008D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7D"/>
  </w:style>
  <w:style w:type="paragraph" w:styleId="Title">
    <w:name w:val="Title"/>
    <w:basedOn w:val="Normal"/>
    <w:next w:val="Normal"/>
    <w:link w:val="TitleChar"/>
    <w:uiPriority w:val="10"/>
    <w:qFormat/>
    <w:rsid w:val="008D6F7D"/>
    <w:pPr>
      <w:pBdr>
        <w:bottom w:val="single" w:sz="8" w:space="4" w:color="000000"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F7D"/>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8D6F7D"/>
    <w:pPr>
      <w:outlineLvl w:val="9"/>
    </w:pPr>
    <w:rPr>
      <w:lang w:val="en-US"/>
    </w:rPr>
  </w:style>
  <w:style w:type="paragraph" w:styleId="TOC1">
    <w:name w:val="toc 1"/>
    <w:basedOn w:val="Normal"/>
    <w:next w:val="Normal"/>
    <w:autoRedefine/>
    <w:uiPriority w:val="39"/>
    <w:unhideWhenUsed/>
    <w:rsid w:val="008D6F7D"/>
    <w:pPr>
      <w:spacing w:after="100"/>
    </w:pPr>
  </w:style>
  <w:style w:type="paragraph" w:styleId="TOC2">
    <w:name w:val="toc 2"/>
    <w:basedOn w:val="Normal"/>
    <w:next w:val="Normal"/>
    <w:autoRedefine/>
    <w:uiPriority w:val="39"/>
    <w:unhideWhenUsed/>
    <w:rsid w:val="008D6F7D"/>
    <w:pPr>
      <w:spacing w:after="100"/>
      <w:ind w:left="220"/>
    </w:pPr>
  </w:style>
  <w:style w:type="character" w:styleId="Hyperlink">
    <w:name w:val="Hyperlink"/>
    <w:basedOn w:val="DefaultParagraphFont"/>
    <w:uiPriority w:val="99"/>
    <w:unhideWhenUsed/>
    <w:rsid w:val="008D6F7D"/>
    <w:rPr>
      <w:color w:val="000000" w:themeColor="hyperlink"/>
      <w:u w:val="single"/>
    </w:rPr>
  </w:style>
  <w:style w:type="paragraph" w:styleId="BalloonText">
    <w:name w:val="Balloon Text"/>
    <w:basedOn w:val="Normal"/>
    <w:link w:val="BalloonTextChar"/>
    <w:uiPriority w:val="99"/>
    <w:semiHidden/>
    <w:unhideWhenUsed/>
    <w:rsid w:val="008D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F7D"/>
    <w:rPr>
      <w:rFonts w:ascii="Tahoma" w:hAnsi="Tahoma" w:cs="Tahoma"/>
      <w:sz w:val="16"/>
      <w:szCs w:val="16"/>
    </w:rPr>
  </w:style>
  <w:style w:type="paragraph" w:styleId="TOC3">
    <w:name w:val="toc 3"/>
    <w:basedOn w:val="Normal"/>
    <w:next w:val="Normal"/>
    <w:autoRedefine/>
    <w:uiPriority w:val="39"/>
    <w:unhideWhenUsed/>
    <w:rsid w:val="008D6F7D"/>
    <w:pPr>
      <w:tabs>
        <w:tab w:val="right" w:leader="dot" w:pos="9016"/>
      </w:tabs>
      <w:spacing w:after="100"/>
      <w:ind w:left="440"/>
    </w:pPr>
  </w:style>
  <w:style w:type="character" w:styleId="CommentReference">
    <w:name w:val="annotation reference"/>
    <w:basedOn w:val="DefaultParagraphFont"/>
    <w:uiPriority w:val="99"/>
    <w:semiHidden/>
    <w:unhideWhenUsed/>
    <w:rsid w:val="008D6F7D"/>
    <w:rPr>
      <w:sz w:val="16"/>
      <w:szCs w:val="16"/>
    </w:rPr>
  </w:style>
  <w:style w:type="paragraph" w:styleId="CommentText">
    <w:name w:val="annotation text"/>
    <w:basedOn w:val="Normal"/>
    <w:link w:val="CommentTextChar"/>
    <w:uiPriority w:val="99"/>
    <w:semiHidden/>
    <w:unhideWhenUsed/>
    <w:rsid w:val="008D6F7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8D6F7D"/>
    <w:rPr>
      <w:rFonts w:eastAsiaTheme="minorEastAsia"/>
      <w:sz w:val="20"/>
      <w:szCs w:val="20"/>
      <w:lang w:eastAsia="en-GB"/>
    </w:rPr>
  </w:style>
  <w:style w:type="table" w:styleId="TableGrid">
    <w:name w:val="Table Grid"/>
    <w:basedOn w:val="TableNormal"/>
    <w:uiPriority w:val="59"/>
    <w:rsid w:val="008D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F7D"/>
    <w:pPr>
      <w:ind w:left="720"/>
      <w:contextualSpacing/>
    </w:pPr>
    <w:rPr>
      <w:rFonts w:eastAsiaTheme="minorEastAsia"/>
      <w:lang w:eastAsia="en-GB"/>
    </w:rPr>
  </w:style>
  <w:style w:type="paragraph" w:styleId="NoSpacing">
    <w:name w:val="No Spacing"/>
    <w:uiPriority w:val="1"/>
    <w:qFormat/>
    <w:rsid w:val="008D6F7D"/>
    <w:pPr>
      <w:spacing w:after="0" w:line="240" w:lineRule="auto"/>
    </w:pPr>
  </w:style>
  <w:style w:type="paragraph" w:styleId="Caption">
    <w:name w:val="caption"/>
    <w:basedOn w:val="Normal"/>
    <w:next w:val="Normal"/>
    <w:uiPriority w:val="35"/>
    <w:unhideWhenUsed/>
    <w:qFormat/>
    <w:rsid w:val="008D6F7D"/>
    <w:pPr>
      <w:spacing w:line="240" w:lineRule="auto"/>
    </w:pPr>
    <w:rPr>
      <w:b/>
      <w:bCs/>
      <w:color w:val="000000" w:themeColor="accent1"/>
      <w:sz w:val="18"/>
      <w:szCs w:val="18"/>
    </w:rPr>
  </w:style>
  <w:style w:type="paragraph" w:styleId="CommentSubject">
    <w:name w:val="annotation subject"/>
    <w:basedOn w:val="CommentText"/>
    <w:next w:val="CommentText"/>
    <w:link w:val="CommentSubjectChar"/>
    <w:uiPriority w:val="99"/>
    <w:semiHidden/>
    <w:unhideWhenUsed/>
    <w:rsid w:val="008D6F7D"/>
    <w:rPr>
      <w:rFonts w:eastAsiaTheme="minorHAnsi"/>
      <w:b/>
      <w:bCs/>
      <w:lang w:eastAsia="en-US"/>
    </w:rPr>
  </w:style>
  <w:style w:type="character" w:customStyle="1" w:styleId="CommentSubjectChar">
    <w:name w:val="Comment Subject Char"/>
    <w:basedOn w:val="CommentTextChar"/>
    <w:link w:val="CommentSubject"/>
    <w:uiPriority w:val="99"/>
    <w:semiHidden/>
    <w:rsid w:val="008D6F7D"/>
    <w:rPr>
      <w:rFonts w:eastAsiaTheme="minorEastAsia"/>
      <w:b/>
      <w:bCs/>
      <w:sz w:val="20"/>
      <w:szCs w:val="20"/>
      <w:lang w:eastAsia="en-GB"/>
    </w:rPr>
  </w:style>
  <w:style w:type="character" w:styleId="LineNumber">
    <w:name w:val="line number"/>
    <w:basedOn w:val="DefaultParagraphFont"/>
    <w:uiPriority w:val="99"/>
    <w:semiHidden/>
    <w:unhideWhenUsed/>
    <w:rsid w:val="00A3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486600">
      <w:bodyDiv w:val="1"/>
      <w:marLeft w:val="0"/>
      <w:marRight w:val="0"/>
      <w:marTop w:val="0"/>
      <w:marBottom w:val="0"/>
      <w:divBdr>
        <w:top w:val="none" w:sz="0" w:space="0" w:color="auto"/>
        <w:left w:val="none" w:sz="0" w:space="0" w:color="auto"/>
        <w:bottom w:val="none" w:sz="0" w:space="0" w:color="auto"/>
        <w:right w:val="none" w:sz="0" w:space="0" w:color="auto"/>
      </w:divBdr>
    </w:div>
    <w:div w:id="166678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Cambria Font Theme">
      <a:majorFont>
        <a:latin typeface="Cambria"/>
        <a:ea typeface=""/>
        <a:cs typeface="Arial"/>
      </a:majorFont>
      <a:minorFont>
        <a:latin typeface="Cambria"/>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2518</TotalTime>
  <Pages>19</Pages>
  <Words>11728</Words>
  <Characters>66850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78422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zsba173</dc:creator>
  <cp:keywords/>
  <dc:description/>
  <cp:lastModifiedBy>UWL</cp:lastModifiedBy>
  <cp:revision>20</cp:revision>
  <cp:lastPrinted>2016-04-08T15:34:00Z</cp:lastPrinted>
  <dcterms:created xsi:type="dcterms:W3CDTF">2015-07-29T10:31:00Z</dcterms:created>
  <dcterms:modified xsi:type="dcterms:W3CDTF">2016-04-12T11:15:00Z</dcterms:modified>
</cp:coreProperties>
</file>