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35A2E" w14:textId="77777777" w:rsidR="00084A75" w:rsidRPr="00532C36" w:rsidRDefault="00AF293D" w:rsidP="00582590">
      <w:pPr>
        <w:spacing w:line="276" w:lineRule="auto"/>
        <w:jc w:val="both"/>
        <w:rPr>
          <w:rFonts w:cstheme="minorHAnsi"/>
          <w:sz w:val="24"/>
          <w:szCs w:val="24"/>
        </w:rPr>
      </w:pPr>
      <w:bookmarkStart w:id="0" w:name="_GoBack"/>
      <w:bookmarkEnd w:id="0"/>
      <w:r w:rsidRPr="00532C36">
        <w:rPr>
          <w:rFonts w:cstheme="minorHAnsi"/>
          <w:b/>
          <w:sz w:val="24"/>
          <w:szCs w:val="24"/>
        </w:rPr>
        <w:t>Title:</w:t>
      </w:r>
      <w:r w:rsidRPr="00532C36">
        <w:rPr>
          <w:rFonts w:cstheme="minorHAnsi"/>
          <w:sz w:val="24"/>
          <w:szCs w:val="24"/>
        </w:rPr>
        <w:t xml:space="preserve"> Critical Reflections on Modern Elite Formation and Social Differentiation in the International Baccalaureate Diploma Programme in England.</w:t>
      </w:r>
    </w:p>
    <w:p w14:paraId="38E75E0B" w14:textId="77777777" w:rsidR="00DD6764" w:rsidRPr="00532C36" w:rsidRDefault="00122A2E" w:rsidP="00582590">
      <w:pPr>
        <w:spacing w:line="276" w:lineRule="auto"/>
        <w:jc w:val="both"/>
        <w:rPr>
          <w:rFonts w:cstheme="minorHAnsi"/>
          <w:b/>
          <w:sz w:val="24"/>
          <w:szCs w:val="24"/>
        </w:rPr>
      </w:pPr>
      <w:r w:rsidRPr="00532C36">
        <w:rPr>
          <w:rFonts w:cstheme="minorHAnsi"/>
          <w:b/>
          <w:sz w:val="24"/>
          <w:szCs w:val="24"/>
        </w:rPr>
        <w:t>Abstract</w:t>
      </w:r>
    </w:p>
    <w:p w14:paraId="1F0FA2D7" w14:textId="172BD22A" w:rsidR="00AF293D" w:rsidRPr="00532C36" w:rsidRDefault="00AF293D" w:rsidP="00582590">
      <w:pPr>
        <w:spacing w:line="276" w:lineRule="auto"/>
        <w:jc w:val="both"/>
        <w:rPr>
          <w:rFonts w:cstheme="minorHAnsi"/>
          <w:sz w:val="24"/>
          <w:szCs w:val="24"/>
        </w:rPr>
      </w:pPr>
      <w:r w:rsidRPr="00532C36">
        <w:rPr>
          <w:rFonts w:cstheme="minorHAnsi"/>
          <w:sz w:val="24"/>
          <w:szCs w:val="24"/>
        </w:rPr>
        <w:t>This paper inves</w:t>
      </w:r>
      <w:r w:rsidR="007F6434" w:rsidRPr="00532C36">
        <w:rPr>
          <w:rFonts w:cstheme="minorHAnsi"/>
          <w:sz w:val="24"/>
          <w:szCs w:val="24"/>
        </w:rPr>
        <w:t xml:space="preserve">tigates </w:t>
      </w:r>
      <w:r w:rsidR="00421FA5" w:rsidRPr="00532C36">
        <w:rPr>
          <w:rFonts w:cstheme="minorHAnsi"/>
          <w:sz w:val="24"/>
          <w:szCs w:val="24"/>
        </w:rPr>
        <w:t xml:space="preserve">the </w:t>
      </w:r>
      <w:r w:rsidR="007F6434" w:rsidRPr="00532C36">
        <w:rPr>
          <w:rFonts w:cstheme="minorHAnsi"/>
          <w:sz w:val="24"/>
          <w:szCs w:val="24"/>
        </w:rPr>
        <w:t>changes in educational policy in England regarding the</w:t>
      </w:r>
      <w:r w:rsidRPr="00532C36">
        <w:rPr>
          <w:rFonts w:cstheme="minorHAnsi"/>
          <w:sz w:val="24"/>
          <w:szCs w:val="24"/>
        </w:rPr>
        <w:t xml:space="preserve"> implement</w:t>
      </w:r>
      <w:r w:rsidR="00342195" w:rsidRPr="00532C36">
        <w:rPr>
          <w:rFonts w:cstheme="minorHAnsi"/>
          <w:sz w:val="24"/>
          <w:szCs w:val="24"/>
        </w:rPr>
        <w:t>ing</w:t>
      </w:r>
      <w:r w:rsidRPr="00532C36">
        <w:rPr>
          <w:rFonts w:cstheme="minorHAnsi"/>
          <w:sz w:val="24"/>
          <w:szCs w:val="24"/>
        </w:rPr>
        <w:t xml:space="preserve"> </w:t>
      </w:r>
      <w:r w:rsidR="007F6434" w:rsidRPr="00532C36">
        <w:rPr>
          <w:rFonts w:cstheme="minorHAnsi"/>
          <w:sz w:val="24"/>
          <w:szCs w:val="24"/>
        </w:rPr>
        <w:t xml:space="preserve">of </w:t>
      </w:r>
      <w:r w:rsidRPr="00532C36">
        <w:rPr>
          <w:rFonts w:cstheme="minorHAnsi"/>
          <w:sz w:val="24"/>
          <w:szCs w:val="24"/>
        </w:rPr>
        <w:t>the International Baccalaureate Diploma Programme (henceforth IBDP) i</w:t>
      </w:r>
      <w:r w:rsidR="00421FA5" w:rsidRPr="00532C36">
        <w:rPr>
          <w:rFonts w:cstheme="minorHAnsi"/>
          <w:sz w:val="24"/>
          <w:szCs w:val="24"/>
        </w:rPr>
        <w:t xml:space="preserve">nto post-16 </w:t>
      </w:r>
      <w:r w:rsidR="0027696C" w:rsidRPr="00532C36">
        <w:rPr>
          <w:rFonts w:cstheme="minorHAnsi"/>
          <w:sz w:val="24"/>
          <w:szCs w:val="24"/>
        </w:rPr>
        <w:t xml:space="preserve">(sixth form) </w:t>
      </w:r>
      <w:r w:rsidR="00421FA5" w:rsidRPr="00532C36">
        <w:rPr>
          <w:rFonts w:cstheme="minorHAnsi"/>
          <w:sz w:val="24"/>
          <w:szCs w:val="24"/>
        </w:rPr>
        <w:t>education</w:t>
      </w:r>
      <w:r w:rsidRPr="00532C36">
        <w:rPr>
          <w:rFonts w:cstheme="minorHAnsi"/>
          <w:sz w:val="24"/>
          <w:szCs w:val="24"/>
        </w:rPr>
        <w:t>.</w:t>
      </w:r>
      <w:r w:rsidR="0047475C">
        <w:rPr>
          <w:rFonts w:cstheme="minorHAnsi"/>
          <w:sz w:val="24"/>
          <w:szCs w:val="24"/>
        </w:rPr>
        <w:t xml:space="preserve"> The aim is to</w:t>
      </w:r>
      <w:r w:rsidRPr="00532C36">
        <w:rPr>
          <w:rFonts w:cstheme="minorHAnsi"/>
          <w:sz w:val="24"/>
          <w:szCs w:val="24"/>
        </w:rPr>
        <w:t xml:space="preserve"> illustrate the unique trajectory of the IBDP in England: from its adoption in schools and colleges across the country, to its removal, due largely to a combination of specific changes, such as government funding criteria inside state education, and the tariff system for university entry that is deployed for qualifications at 18. This paper explores this combination of changes using interview data with 28 senior leaders from </w:t>
      </w:r>
      <w:r w:rsidR="00421FA5" w:rsidRPr="00532C36">
        <w:rPr>
          <w:rFonts w:cstheme="minorHAnsi"/>
          <w:sz w:val="24"/>
          <w:szCs w:val="24"/>
        </w:rPr>
        <w:t>eight</w:t>
      </w:r>
      <w:r w:rsidR="008931B0" w:rsidRPr="00532C36">
        <w:rPr>
          <w:rFonts w:cstheme="minorHAnsi"/>
          <w:sz w:val="24"/>
          <w:szCs w:val="24"/>
        </w:rPr>
        <w:t xml:space="preserve"> </w:t>
      </w:r>
      <w:r w:rsidRPr="00532C36">
        <w:rPr>
          <w:rFonts w:cstheme="minorHAnsi"/>
          <w:sz w:val="24"/>
          <w:szCs w:val="24"/>
        </w:rPr>
        <w:t>schools and colleges that have introduced the IBDP, including state centres that have subsequently had to remove it from their curriculum.</w:t>
      </w:r>
    </w:p>
    <w:p w14:paraId="35E6D997" w14:textId="7C3DC594" w:rsidR="0087125B" w:rsidRPr="000A4BDC" w:rsidRDefault="005F5A2A" w:rsidP="00582590">
      <w:pPr>
        <w:spacing w:line="276" w:lineRule="auto"/>
        <w:jc w:val="both"/>
        <w:rPr>
          <w:rFonts w:cstheme="minorHAnsi"/>
          <w:sz w:val="24"/>
          <w:szCs w:val="24"/>
        </w:rPr>
      </w:pPr>
      <w:r w:rsidRPr="00532C36">
        <w:rPr>
          <w:rFonts w:cstheme="minorHAnsi"/>
          <w:sz w:val="24"/>
          <w:szCs w:val="24"/>
        </w:rPr>
        <w:t>Employing the idea of a neo-</w:t>
      </w:r>
      <w:r w:rsidR="00310ABA" w:rsidRPr="00532C36">
        <w:rPr>
          <w:rFonts w:cstheme="minorHAnsi"/>
          <w:sz w:val="24"/>
          <w:szCs w:val="24"/>
        </w:rPr>
        <w:t xml:space="preserve">liberal social imaginary (Ball, </w:t>
      </w:r>
      <w:r w:rsidRPr="00532C36">
        <w:rPr>
          <w:rFonts w:cstheme="minorHAnsi"/>
          <w:sz w:val="24"/>
          <w:szCs w:val="24"/>
        </w:rPr>
        <w:t>2012</w:t>
      </w:r>
      <w:r w:rsidR="00122A2E" w:rsidRPr="00532C36">
        <w:rPr>
          <w:rFonts w:cstheme="minorHAnsi"/>
          <w:sz w:val="24"/>
          <w:szCs w:val="24"/>
        </w:rPr>
        <w:t xml:space="preserve">) this paper analyses the resulting level of social exclusion inside the English post-16 curriculum created by the educational policies adopted by successive governments since the 2008 economic recession. The paper argues that the rise and decline of the IBDP in England has resulted in a significant level of </w:t>
      </w:r>
      <w:r w:rsidR="0087125B" w:rsidRPr="00532C36">
        <w:rPr>
          <w:rFonts w:cstheme="minorHAnsi"/>
          <w:sz w:val="24"/>
          <w:szCs w:val="24"/>
        </w:rPr>
        <w:t>socially differentiated take up</w:t>
      </w:r>
      <w:r w:rsidR="00B358E2" w:rsidRPr="00532C36">
        <w:rPr>
          <w:rFonts w:cstheme="minorHAnsi"/>
          <w:sz w:val="24"/>
          <w:szCs w:val="24"/>
        </w:rPr>
        <w:t>, largely in independent schools</w:t>
      </w:r>
      <w:r w:rsidR="00342195" w:rsidRPr="00532C36">
        <w:rPr>
          <w:rFonts w:cstheme="minorHAnsi"/>
          <w:sz w:val="24"/>
          <w:szCs w:val="24"/>
        </w:rPr>
        <w:t>, and</w:t>
      </w:r>
      <w:r w:rsidR="00B358E2" w:rsidRPr="00532C36">
        <w:rPr>
          <w:rFonts w:cstheme="minorHAnsi"/>
          <w:sz w:val="24"/>
          <w:szCs w:val="24"/>
        </w:rPr>
        <w:t xml:space="preserve"> in </w:t>
      </w:r>
      <w:r w:rsidR="00342195" w:rsidRPr="00532C36">
        <w:rPr>
          <w:rFonts w:cstheme="minorHAnsi"/>
          <w:sz w:val="24"/>
          <w:szCs w:val="24"/>
        </w:rPr>
        <w:t>state schools</w:t>
      </w:r>
      <w:r w:rsidR="00B358E2" w:rsidRPr="00532C36">
        <w:rPr>
          <w:rFonts w:cstheme="minorHAnsi"/>
          <w:sz w:val="24"/>
          <w:szCs w:val="24"/>
        </w:rPr>
        <w:t xml:space="preserve"> in</w:t>
      </w:r>
      <w:r w:rsidR="00342195" w:rsidRPr="00532C36">
        <w:rPr>
          <w:rFonts w:cstheme="minorHAnsi"/>
          <w:sz w:val="24"/>
          <w:szCs w:val="24"/>
        </w:rPr>
        <w:t xml:space="preserve"> London and</w:t>
      </w:r>
      <w:r w:rsidR="00B358E2" w:rsidRPr="000A4BDC">
        <w:rPr>
          <w:rFonts w:cstheme="minorHAnsi"/>
          <w:sz w:val="24"/>
          <w:szCs w:val="24"/>
        </w:rPr>
        <w:t xml:space="preserve"> the South</w:t>
      </w:r>
      <w:r w:rsidR="00342195" w:rsidRPr="000A4BDC">
        <w:rPr>
          <w:rFonts w:cstheme="minorHAnsi"/>
          <w:sz w:val="24"/>
          <w:szCs w:val="24"/>
        </w:rPr>
        <w:t>-East</w:t>
      </w:r>
      <w:r w:rsidR="00B358E2" w:rsidRPr="000A4BDC">
        <w:rPr>
          <w:rFonts w:cstheme="minorHAnsi"/>
          <w:sz w:val="24"/>
          <w:szCs w:val="24"/>
        </w:rPr>
        <w:t xml:space="preserve"> of the country (Bun</w:t>
      </w:r>
      <w:r w:rsidR="0081755B" w:rsidRPr="000A4BDC">
        <w:rPr>
          <w:rFonts w:cstheme="minorHAnsi"/>
          <w:sz w:val="24"/>
          <w:szCs w:val="24"/>
        </w:rPr>
        <w:t>n</w:t>
      </w:r>
      <w:r w:rsidR="00310ABA" w:rsidRPr="000A4BDC">
        <w:rPr>
          <w:rFonts w:cstheme="minorHAnsi"/>
          <w:sz w:val="24"/>
          <w:szCs w:val="24"/>
        </w:rPr>
        <w:t>ell,</w:t>
      </w:r>
      <w:r w:rsidR="007D320F" w:rsidRPr="000A4BDC">
        <w:rPr>
          <w:rFonts w:cstheme="minorHAnsi"/>
          <w:sz w:val="24"/>
          <w:szCs w:val="24"/>
        </w:rPr>
        <w:t xml:space="preserve"> </w:t>
      </w:r>
      <w:r w:rsidR="00B358E2" w:rsidRPr="000A4BDC">
        <w:rPr>
          <w:rFonts w:cstheme="minorHAnsi"/>
          <w:sz w:val="24"/>
          <w:szCs w:val="24"/>
        </w:rPr>
        <w:t xml:space="preserve">2015). This paper concludes that access to the IBDP is restricted with regard to both geographical and social mobility and that current access to the IBDP in England is helping to sustain a </w:t>
      </w:r>
      <w:r w:rsidR="0011580A" w:rsidRPr="000A4BDC">
        <w:rPr>
          <w:rFonts w:cstheme="minorHAnsi"/>
          <w:sz w:val="24"/>
          <w:szCs w:val="24"/>
        </w:rPr>
        <w:t>‘</w:t>
      </w:r>
      <w:r w:rsidR="00B358E2" w:rsidRPr="000A4BDC">
        <w:rPr>
          <w:rFonts w:cstheme="minorHAnsi"/>
          <w:sz w:val="24"/>
          <w:szCs w:val="24"/>
        </w:rPr>
        <w:t xml:space="preserve">globally mobile </w:t>
      </w:r>
      <w:r w:rsidR="0087125B" w:rsidRPr="000A4BDC">
        <w:rPr>
          <w:rFonts w:cstheme="minorHAnsi"/>
          <w:sz w:val="24"/>
          <w:szCs w:val="24"/>
        </w:rPr>
        <w:t>transnational elite group</w:t>
      </w:r>
      <w:r w:rsidR="0011580A" w:rsidRPr="000A4BDC">
        <w:rPr>
          <w:rFonts w:cstheme="minorHAnsi"/>
          <w:sz w:val="24"/>
          <w:szCs w:val="24"/>
        </w:rPr>
        <w:t>’</w:t>
      </w:r>
      <w:r w:rsidR="0081755B" w:rsidRPr="000A4BDC">
        <w:rPr>
          <w:rFonts w:cstheme="minorHAnsi"/>
          <w:sz w:val="24"/>
          <w:szCs w:val="24"/>
        </w:rPr>
        <w:t xml:space="preserve"> </w:t>
      </w:r>
      <w:r w:rsidR="005A55AA" w:rsidRPr="000A4BDC">
        <w:rPr>
          <w:rFonts w:cstheme="minorHAnsi"/>
          <w:sz w:val="24"/>
          <w:szCs w:val="24"/>
        </w:rPr>
        <w:t>(Savage</w:t>
      </w:r>
      <w:r w:rsidR="001E0F49" w:rsidRPr="000A4BDC">
        <w:rPr>
          <w:rFonts w:cstheme="minorHAnsi"/>
          <w:sz w:val="24"/>
          <w:szCs w:val="24"/>
        </w:rPr>
        <w:t xml:space="preserve"> </w:t>
      </w:r>
      <w:r w:rsidR="00F61732">
        <w:rPr>
          <w:rFonts w:cstheme="minorHAnsi"/>
          <w:sz w:val="24"/>
          <w:szCs w:val="24"/>
        </w:rPr>
        <w:t>et al</w:t>
      </w:r>
      <w:r w:rsidR="005A55AA" w:rsidRPr="000A4BDC">
        <w:rPr>
          <w:rFonts w:cstheme="minorHAnsi"/>
          <w:sz w:val="24"/>
          <w:szCs w:val="24"/>
        </w:rPr>
        <w:t>,</w:t>
      </w:r>
      <w:r w:rsidR="0081755B" w:rsidRPr="000A4BDC">
        <w:rPr>
          <w:rFonts w:cstheme="minorHAnsi"/>
          <w:sz w:val="24"/>
          <w:szCs w:val="24"/>
        </w:rPr>
        <w:t xml:space="preserve"> 2015</w:t>
      </w:r>
      <w:r w:rsidR="00310ABA" w:rsidRPr="000A4BDC">
        <w:rPr>
          <w:rFonts w:cstheme="minorHAnsi"/>
          <w:sz w:val="24"/>
          <w:szCs w:val="24"/>
        </w:rPr>
        <w:t>, p.</w:t>
      </w:r>
      <w:r w:rsidR="0011580A" w:rsidRPr="000A4BDC">
        <w:rPr>
          <w:rFonts w:cstheme="minorHAnsi"/>
          <w:sz w:val="24"/>
          <w:szCs w:val="24"/>
        </w:rPr>
        <w:t>244</w:t>
      </w:r>
      <w:r w:rsidR="0081755B" w:rsidRPr="000A4BDC">
        <w:rPr>
          <w:rFonts w:cstheme="minorHAnsi"/>
          <w:sz w:val="24"/>
          <w:szCs w:val="24"/>
        </w:rPr>
        <w:t>)</w:t>
      </w:r>
      <w:r w:rsidRPr="000A4BDC">
        <w:rPr>
          <w:rFonts w:cstheme="minorHAnsi"/>
          <w:sz w:val="24"/>
          <w:szCs w:val="24"/>
        </w:rPr>
        <w:t>, thus reinforcing the connection established between the IB</w:t>
      </w:r>
      <w:r w:rsidR="00342195" w:rsidRPr="000A4BDC">
        <w:rPr>
          <w:rFonts w:cstheme="minorHAnsi"/>
          <w:sz w:val="24"/>
          <w:szCs w:val="24"/>
        </w:rPr>
        <w:t>DP’s wider</w:t>
      </w:r>
      <w:r w:rsidRPr="000A4BDC">
        <w:rPr>
          <w:rFonts w:cstheme="minorHAnsi"/>
          <w:sz w:val="24"/>
          <w:szCs w:val="24"/>
        </w:rPr>
        <w:t xml:space="preserve"> curriculu</w:t>
      </w:r>
      <w:r w:rsidR="00310ABA" w:rsidRPr="000A4BDC">
        <w:rPr>
          <w:rFonts w:cstheme="minorHAnsi"/>
          <w:sz w:val="24"/>
          <w:szCs w:val="24"/>
        </w:rPr>
        <w:t xml:space="preserve">m and global capitalism (Resnik, </w:t>
      </w:r>
      <w:r w:rsidRPr="000A4BDC">
        <w:rPr>
          <w:rFonts w:cstheme="minorHAnsi"/>
          <w:sz w:val="24"/>
          <w:szCs w:val="24"/>
        </w:rPr>
        <w:t>2009).</w:t>
      </w:r>
    </w:p>
    <w:p w14:paraId="761994AF" w14:textId="77777777" w:rsidR="00A95B75" w:rsidRPr="000A4BDC" w:rsidRDefault="00A95B75" w:rsidP="00582590">
      <w:pPr>
        <w:spacing w:line="276" w:lineRule="auto"/>
        <w:jc w:val="both"/>
        <w:rPr>
          <w:rFonts w:cstheme="minorHAnsi"/>
          <w:sz w:val="24"/>
          <w:szCs w:val="24"/>
        </w:rPr>
      </w:pPr>
    </w:p>
    <w:p w14:paraId="0F0030E9" w14:textId="77777777" w:rsidR="00364289" w:rsidRPr="000A4BDC" w:rsidRDefault="00364289" w:rsidP="00582590">
      <w:pPr>
        <w:spacing w:line="276" w:lineRule="auto"/>
        <w:jc w:val="both"/>
        <w:rPr>
          <w:rFonts w:cstheme="minorHAnsi"/>
          <w:b/>
          <w:i/>
          <w:sz w:val="24"/>
          <w:szCs w:val="24"/>
        </w:rPr>
      </w:pPr>
      <w:r w:rsidRPr="000A4BDC">
        <w:rPr>
          <w:rFonts w:cstheme="minorHAnsi"/>
          <w:b/>
          <w:i/>
          <w:sz w:val="24"/>
          <w:szCs w:val="24"/>
        </w:rPr>
        <w:t>Introduction</w:t>
      </w:r>
      <w:r w:rsidR="000E2E01" w:rsidRPr="000A4BDC">
        <w:rPr>
          <w:rFonts w:cstheme="minorHAnsi"/>
          <w:b/>
          <w:i/>
          <w:sz w:val="24"/>
          <w:szCs w:val="24"/>
        </w:rPr>
        <w:t>.</w:t>
      </w:r>
    </w:p>
    <w:p w14:paraId="1A0E9C5A" w14:textId="77777777" w:rsidR="000A5638" w:rsidRPr="000A4BDC" w:rsidRDefault="00D91A6A" w:rsidP="00582590">
      <w:pPr>
        <w:spacing w:line="276" w:lineRule="auto"/>
        <w:jc w:val="both"/>
        <w:rPr>
          <w:rFonts w:cstheme="minorHAnsi"/>
          <w:strike/>
          <w:sz w:val="24"/>
          <w:szCs w:val="24"/>
        </w:rPr>
      </w:pPr>
      <w:r w:rsidRPr="00D026CA">
        <w:rPr>
          <w:rFonts w:cstheme="minorHAnsi"/>
          <w:sz w:val="24"/>
          <w:szCs w:val="24"/>
        </w:rPr>
        <w:t>This paper investigates the implementation and the subsequent withdrawal of the International Baccalaureate Diploma Programme (henceforth IBDP) into post-16 education in England. There a number of factors that have led to the interest in the IBDP for students in the age bracket 16-19 years old, and which are a reflection of English education policy in the last decade:</w:t>
      </w:r>
    </w:p>
    <w:p w14:paraId="3D90F3B3" w14:textId="77777777" w:rsidR="00364289" w:rsidRPr="009B50B6" w:rsidRDefault="00364289" w:rsidP="00582590">
      <w:pPr>
        <w:numPr>
          <w:ilvl w:val="0"/>
          <w:numId w:val="1"/>
        </w:numPr>
        <w:spacing w:after="0" w:line="276" w:lineRule="auto"/>
        <w:jc w:val="both"/>
        <w:rPr>
          <w:rFonts w:cstheme="minorHAnsi"/>
          <w:sz w:val="24"/>
          <w:szCs w:val="24"/>
        </w:rPr>
      </w:pPr>
      <w:r w:rsidRPr="009B50B6">
        <w:rPr>
          <w:rFonts w:cstheme="minorHAnsi"/>
          <w:sz w:val="24"/>
          <w:szCs w:val="24"/>
        </w:rPr>
        <w:t>increasing worry about standards of A-levels and other Level-3 qualifications</w:t>
      </w:r>
      <w:r w:rsidR="007D54B3" w:rsidRPr="009B50B6">
        <w:rPr>
          <w:rFonts w:cstheme="minorHAnsi"/>
          <w:sz w:val="24"/>
          <w:szCs w:val="24"/>
        </w:rPr>
        <w:t>, which are pre-requisites for entrance in Universities</w:t>
      </w:r>
    </w:p>
    <w:p w14:paraId="024FC918" w14:textId="3D9ADDE6" w:rsidR="00DD30FF" w:rsidRPr="000A4BDC" w:rsidRDefault="00FC0CEC" w:rsidP="00582590">
      <w:pPr>
        <w:numPr>
          <w:ilvl w:val="0"/>
          <w:numId w:val="1"/>
        </w:numPr>
        <w:spacing w:after="0" w:line="276" w:lineRule="auto"/>
        <w:jc w:val="both"/>
        <w:rPr>
          <w:rFonts w:cstheme="minorHAnsi"/>
          <w:sz w:val="24"/>
          <w:szCs w:val="24"/>
        </w:rPr>
      </w:pPr>
      <w:r w:rsidRPr="000A4BDC">
        <w:rPr>
          <w:rFonts w:cstheme="minorHAnsi"/>
          <w:sz w:val="24"/>
          <w:szCs w:val="24"/>
        </w:rPr>
        <w:t>p</w:t>
      </w:r>
      <w:r w:rsidR="00D91A6A" w:rsidRPr="00D026CA">
        <w:rPr>
          <w:rFonts w:cstheme="minorHAnsi"/>
          <w:sz w:val="24"/>
          <w:szCs w:val="24"/>
        </w:rPr>
        <w:t>ressure of entry into one of the elite Russell Group Universities</w:t>
      </w:r>
    </w:p>
    <w:p w14:paraId="49E24834" w14:textId="273A62B0" w:rsidR="00364289" w:rsidRPr="009B50B6" w:rsidRDefault="00364289" w:rsidP="00582590">
      <w:pPr>
        <w:numPr>
          <w:ilvl w:val="0"/>
          <w:numId w:val="1"/>
        </w:numPr>
        <w:spacing w:after="0" w:line="276" w:lineRule="auto"/>
        <w:jc w:val="both"/>
        <w:rPr>
          <w:rFonts w:cstheme="minorHAnsi"/>
          <w:sz w:val="24"/>
          <w:szCs w:val="24"/>
        </w:rPr>
      </w:pPr>
      <w:r w:rsidRPr="009B50B6">
        <w:rPr>
          <w:rFonts w:cstheme="minorHAnsi"/>
          <w:sz w:val="24"/>
          <w:szCs w:val="24"/>
        </w:rPr>
        <w:t>institutional funding made available by the last Labour Government</w:t>
      </w:r>
      <w:r w:rsidR="001E0F49" w:rsidRPr="009B50B6">
        <w:rPr>
          <w:rFonts w:cstheme="minorHAnsi"/>
          <w:sz w:val="24"/>
          <w:szCs w:val="24"/>
        </w:rPr>
        <w:t xml:space="preserve"> for the IBDP</w:t>
      </w:r>
    </w:p>
    <w:p w14:paraId="4BC4AB41" w14:textId="793F9F09" w:rsidR="005D2678" w:rsidRPr="000A4BDC" w:rsidRDefault="005D2678" w:rsidP="00582590">
      <w:pPr>
        <w:numPr>
          <w:ilvl w:val="0"/>
          <w:numId w:val="1"/>
        </w:numPr>
        <w:spacing w:after="0" w:line="276" w:lineRule="auto"/>
        <w:jc w:val="both"/>
        <w:rPr>
          <w:rFonts w:cstheme="minorHAnsi"/>
          <w:strike/>
          <w:sz w:val="24"/>
          <w:szCs w:val="24"/>
        </w:rPr>
      </w:pPr>
      <w:r w:rsidRPr="009B50B6">
        <w:rPr>
          <w:rFonts w:cstheme="minorHAnsi"/>
          <w:sz w:val="24"/>
          <w:szCs w:val="24"/>
        </w:rPr>
        <w:t>UCAS (the Universities and Colleges Admissions Services)</w:t>
      </w:r>
      <w:r w:rsidRPr="000A4BDC">
        <w:rPr>
          <w:rFonts w:cstheme="minorHAnsi"/>
          <w:sz w:val="24"/>
          <w:szCs w:val="24"/>
        </w:rPr>
        <w:t xml:space="preserve"> tariff employed by most Universities allocated to the IBDP (making it worth the equivalent of four and a half A-levels)</w:t>
      </w:r>
    </w:p>
    <w:p w14:paraId="52EAC18A" w14:textId="77777777" w:rsidR="00A46706" w:rsidRPr="009B50B6" w:rsidRDefault="00364289" w:rsidP="00A725DA">
      <w:pPr>
        <w:numPr>
          <w:ilvl w:val="0"/>
          <w:numId w:val="1"/>
        </w:numPr>
        <w:spacing w:after="0" w:line="276" w:lineRule="auto"/>
        <w:jc w:val="both"/>
        <w:rPr>
          <w:rFonts w:cstheme="minorHAnsi"/>
          <w:sz w:val="24"/>
          <w:szCs w:val="24"/>
        </w:rPr>
      </w:pPr>
      <w:r w:rsidRPr="009B50B6">
        <w:rPr>
          <w:rFonts w:cstheme="minorHAnsi"/>
          <w:sz w:val="24"/>
          <w:szCs w:val="24"/>
        </w:rPr>
        <w:t>increasing parental power and student choice in the post-16 sector, which tie into the wider marketisation strategies</w:t>
      </w:r>
      <w:r w:rsidR="009A73CF" w:rsidRPr="009B50B6">
        <w:rPr>
          <w:rFonts w:cstheme="minorHAnsi"/>
          <w:sz w:val="24"/>
          <w:szCs w:val="24"/>
        </w:rPr>
        <w:t>.</w:t>
      </w:r>
    </w:p>
    <w:p w14:paraId="130FBEAD" w14:textId="77777777" w:rsidR="00524674" w:rsidRPr="000A4BDC" w:rsidRDefault="00524674" w:rsidP="000A5638">
      <w:pPr>
        <w:spacing w:after="0" w:line="276" w:lineRule="auto"/>
        <w:ind w:left="720"/>
        <w:jc w:val="both"/>
        <w:rPr>
          <w:rFonts w:cstheme="minorHAnsi"/>
          <w:sz w:val="24"/>
          <w:szCs w:val="24"/>
        </w:rPr>
      </w:pPr>
    </w:p>
    <w:p w14:paraId="5E12A9C5" w14:textId="2166778F" w:rsidR="00364289" w:rsidRPr="00D026CA" w:rsidRDefault="007F6434" w:rsidP="00582590">
      <w:pPr>
        <w:spacing w:line="276" w:lineRule="auto"/>
        <w:jc w:val="both"/>
        <w:rPr>
          <w:rFonts w:cstheme="minorHAnsi"/>
          <w:sz w:val="24"/>
          <w:szCs w:val="24"/>
        </w:rPr>
      </w:pPr>
      <w:r w:rsidRPr="000A4BDC">
        <w:rPr>
          <w:rFonts w:cstheme="minorHAnsi"/>
          <w:sz w:val="24"/>
          <w:szCs w:val="24"/>
        </w:rPr>
        <w:lastRenderedPageBreak/>
        <w:t>The IB</w:t>
      </w:r>
      <w:r w:rsidR="00364289" w:rsidRPr="000A4BDC">
        <w:rPr>
          <w:rFonts w:cstheme="minorHAnsi"/>
          <w:sz w:val="24"/>
          <w:szCs w:val="24"/>
        </w:rPr>
        <w:t xml:space="preserve">DP appears on an ever-growing trajectory, despite both the lack of new state school/ college take up since 2010, and the marked decline in delivery from the state centres that took up the qualification in the 2000s.  </w:t>
      </w:r>
      <w:r w:rsidR="009A73CF" w:rsidRPr="000A4BDC">
        <w:rPr>
          <w:rFonts w:cstheme="minorHAnsi"/>
          <w:sz w:val="24"/>
          <w:szCs w:val="24"/>
        </w:rPr>
        <w:t>This level of interest in the IBDP is directly connected to the</w:t>
      </w:r>
      <w:r w:rsidR="00364289" w:rsidRPr="000A4BDC">
        <w:rPr>
          <w:rFonts w:cstheme="minorHAnsi"/>
          <w:sz w:val="24"/>
          <w:szCs w:val="24"/>
        </w:rPr>
        <w:t xml:space="preserve"> crisis of A Level qualifications</w:t>
      </w:r>
      <w:r w:rsidR="009A73CF" w:rsidRPr="000A4BDC">
        <w:rPr>
          <w:rFonts w:cstheme="minorHAnsi"/>
          <w:sz w:val="24"/>
          <w:szCs w:val="24"/>
        </w:rPr>
        <w:t xml:space="preserve"> which</w:t>
      </w:r>
      <w:r w:rsidR="00364289" w:rsidRPr="000A4BDC">
        <w:rPr>
          <w:rFonts w:cstheme="minorHAnsi"/>
          <w:sz w:val="24"/>
          <w:szCs w:val="24"/>
        </w:rPr>
        <w:t xml:space="preserve"> took place between 2002 and 2014, </w:t>
      </w:r>
      <w:r w:rsidR="009A73CF" w:rsidRPr="000A4BDC">
        <w:rPr>
          <w:rFonts w:cstheme="minorHAnsi"/>
          <w:sz w:val="24"/>
          <w:szCs w:val="24"/>
        </w:rPr>
        <w:t xml:space="preserve">when </w:t>
      </w:r>
      <w:r w:rsidR="00364289" w:rsidRPr="000A4BDC">
        <w:rPr>
          <w:rFonts w:cstheme="minorHAnsi"/>
          <w:sz w:val="24"/>
          <w:szCs w:val="24"/>
        </w:rPr>
        <w:t>successive secretaries of state for educa</w:t>
      </w:r>
      <w:r w:rsidR="00D51BDA" w:rsidRPr="000A4BDC">
        <w:rPr>
          <w:rFonts w:cstheme="minorHAnsi"/>
          <w:sz w:val="24"/>
          <w:szCs w:val="24"/>
        </w:rPr>
        <w:t>tion attempted to tackle the issue with a series of</w:t>
      </w:r>
      <w:r w:rsidR="00364289" w:rsidRPr="000A4BDC">
        <w:rPr>
          <w:rFonts w:cstheme="minorHAnsi"/>
          <w:sz w:val="24"/>
          <w:szCs w:val="24"/>
        </w:rPr>
        <w:t xml:space="preserve"> curriculum changes that</w:t>
      </w:r>
      <w:r w:rsidR="00D51BDA" w:rsidRPr="000A4BDC">
        <w:rPr>
          <w:rFonts w:cstheme="minorHAnsi"/>
          <w:sz w:val="24"/>
          <w:szCs w:val="24"/>
        </w:rPr>
        <w:t>, starting</w:t>
      </w:r>
      <w:r w:rsidR="00364289" w:rsidRPr="000A4BDC">
        <w:rPr>
          <w:rFonts w:cstheme="minorHAnsi"/>
          <w:sz w:val="24"/>
          <w:szCs w:val="24"/>
        </w:rPr>
        <w:t xml:space="preserve"> from Septemb</w:t>
      </w:r>
      <w:r w:rsidR="00D51BDA" w:rsidRPr="000A4BDC">
        <w:rPr>
          <w:rFonts w:cstheme="minorHAnsi"/>
          <w:sz w:val="24"/>
          <w:szCs w:val="24"/>
        </w:rPr>
        <w:t>er 2015, include</w:t>
      </w:r>
      <w:r w:rsidR="00364289" w:rsidRPr="000A4BDC">
        <w:rPr>
          <w:rFonts w:cstheme="minorHAnsi"/>
          <w:sz w:val="24"/>
          <w:szCs w:val="24"/>
        </w:rPr>
        <w:t xml:space="preserve">: the (re)introduction of numerical, 9-1 grading (as opposed to alphabetical, A*-G) </w:t>
      </w:r>
      <w:r w:rsidR="00D91A6A" w:rsidRPr="009B50B6">
        <w:rPr>
          <w:rFonts w:cstheme="minorHAnsi"/>
          <w:sz w:val="24"/>
          <w:szCs w:val="24"/>
        </w:rPr>
        <w:t>for GCSE (General Certificate of Secondary Education)</w:t>
      </w:r>
      <w:r w:rsidR="00342195" w:rsidRPr="009B50B6">
        <w:rPr>
          <w:rFonts w:cstheme="minorHAnsi"/>
          <w:sz w:val="24"/>
          <w:szCs w:val="24"/>
        </w:rPr>
        <w:t xml:space="preserve"> at the age of 16</w:t>
      </w:r>
      <w:r w:rsidR="00364289" w:rsidRPr="009B50B6">
        <w:rPr>
          <w:rFonts w:cstheme="minorHAnsi"/>
          <w:sz w:val="24"/>
          <w:szCs w:val="24"/>
        </w:rPr>
        <w:t>, the reduction in opportunities to re-sit</w:t>
      </w:r>
      <w:r w:rsidR="00364289" w:rsidRPr="000A4BDC">
        <w:rPr>
          <w:rFonts w:cstheme="minorHAnsi"/>
          <w:sz w:val="24"/>
          <w:szCs w:val="24"/>
        </w:rPr>
        <w:t xml:space="preserve">, </w:t>
      </w:r>
      <w:r w:rsidR="00C63A5B" w:rsidRPr="009B50B6">
        <w:rPr>
          <w:rFonts w:cstheme="minorHAnsi"/>
          <w:sz w:val="24"/>
          <w:szCs w:val="24"/>
        </w:rPr>
        <w:t>return to a more traditional curriculum, and the (re)introduction of linear exams for A Level, and substantially reduced coursework percentages (DfE, 2015).</w:t>
      </w:r>
      <w:r w:rsidR="00C63A5B" w:rsidRPr="000A4BDC">
        <w:rPr>
          <w:rFonts w:cstheme="minorHAnsi"/>
          <w:sz w:val="24"/>
          <w:szCs w:val="24"/>
        </w:rPr>
        <w:t xml:space="preserve">  </w:t>
      </w:r>
    </w:p>
    <w:p w14:paraId="0D07C9E1" w14:textId="69A85CFB" w:rsidR="009E68F4" w:rsidRPr="000A4BDC" w:rsidRDefault="003B0ECD" w:rsidP="00D026CA">
      <w:pPr>
        <w:pStyle w:val="CommentText"/>
        <w:spacing w:line="276" w:lineRule="auto"/>
        <w:jc w:val="both"/>
        <w:rPr>
          <w:rFonts w:cstheme="minorHAnsi"/>
          <w:sz w:val="24"/>
          <w:szCs w:val="24"/>
        </w:rPr>
      </w:pPr>
      <w:r w:rsidRPr="000A4BDC">
        <w:rPr>
          <w:rFonts w:cstheme="minorHAnsi"/>
          <w:sz w:val="24"/>
          <w:szCs w:val="24"/>
        </w:rPr>
        <w:t>In this context, the paper illustrates the unique trajectory of the IBDP in England: from its adoption in schools and colleges across the country, to its removal</w:t>
      </w:r>
      <w:r w:rsidR="008C1947" w:rsidRPr="000A4BDC">
        <w:rPr>
          <w:rFonts w:cstheme="minorHAnsi"/>
          <w:sz w:val="24"/>
          <w:szCs w:val="24"/>
        </w:rPr>
        <w:t xml:space="preserve"> </w:t>
      </w:r>
      <w:r w:rsidRPr="000A4BDC">
        <w:rPr>
          <w:rFonts w:cstheme="minorHAnsi"/>
          <w:sz w:val="24"/>
          <w:szCs w:val="24"/>
        </w:rPr>
        <w:t xml:space="preserve">to a combination of specific changes, </w:t>
      </w:r>
      <w:r w:rsidR="00D91A6A" w:rsidRPr="009B50B6">
        <w:rPr>
          <w:rFonts w:cstheme="minorHAnsi"/>
          <w:sz w:val="24"/>
          <w:szCs w:val="24"/>
        </w:rPr>
        <w:t>such as changes in government</w:t>
      </w:r>
      <w:r w:rsidR="00C63A5B" w:rsidRPr="009B50B6">
        <w:rPr>
          <w:rFonts w:cstheme="minorHAnsi"/>
          <w:sz w:val="24"/>
          <w:szCs w:val="24"/>
        </w:rPr>
        <w:t xml:space="preserve"> funding for post-16 education</w:t>
      </w:r>
      <w:r w:rsidR="00214E62" w:rsidRPr="000A4BDC">
        <w:rPr>
          <w:rFonts w:cstheme="minorHAnsi"/>
          <w:sz w:val="24"/>
          <w:szCs w:val="24"/>
        </w:rPr>
        <w:t xml:space="preserve"> </w:t>
      </w:r>
      <w:r w:rsidRPr="000A4BDC">
        <w:rPr>
          <w:rFonts w:cstheme="minorHAnsi"/>
          <w:sz w:val="24"/>
          <w:szCs w:val="24"/>
        </w:rPr>
        <w:t>and the tariff system for university entry that is deployed for qualifications at 18.</w:t>
      </w:r>
      <w:r w:rsidR="00312670" w:rsidRPr="000A4BDC">
        <w:rPr>
          <w:rFonts w:cstheme="minorHAnsi"/>
          <w:sz w:val="24"/>
          <w:szCs w:val="24"/>
        </w:rPr>
        <w:t xml:space="preserve"> Through the analysis of interview data with 28 senior leaders from schools and colleges that have introduced the IBDP, including state centres that have subsequently had to remove it from their curriculum, this paper argues that IBDP is restricted with regard to both geographical and social mobility and that current access to the IBDP in England is helping to sustain a ‘globally mobile transnationa</w:t>
      </w:r>
      <w:r w:rsidR="00EE40D6" w:rsidRPr="000A4BDC">
        <w:rPr>
          <w:rFonts w:cstheme="minorHAnsi"/>
          <w:sz w:val="24"/>
          <w:szCs w:val="24"/>
        </w:rPr>
        <w:t>l elite group’ (Savage</w:t>
      </w:r>
      <w:r w:rsidR="00076D74" w:rsidRPr="000A4BDC">
        <w:rPr>
          <w:rFonts w:cstheme="minorHAnsi"/>
          <w:sz w:val="24"/>
          <w:szCs w:val="24"/>
        </w:rPr>
        <w:t xml:space="preserve"> </w:t>
      </w:r>
      <w:r w:rsidR="00F61732">
        <w:rPr>
          <w:rFonts w:cstheme="minorHAnsi"/>
          <w:sz w:val="24"/>
          <w:szCs w:val="24"/>
        </w:rPr>
        <w:t>et al</w:t>
      </w:r>
      <w:r w:rsidR="00EE40D6" w:rsidRPr="000A4BDC">
        <w:rPr>
          <w:rFonts w:cstheme="minorHAnsi"/>
          <w:sz w:val="24"/>
          <w:szCs w:val="24"/>
        </w:rPr>
        <w:t>, 2015:</w:t>
      </w:r>
      <w:r w:rsidR="00312670" w:rsidRPr="000A4BDC">
        <w:rPr>
          <w:rFonts w:cstheme="minorHAnsi"/>
          <w:sz w:val="24"/>
          <w:szCs w:val="24"/>
        </w:rPr>
        <w:t>244), thus reinforcing the connection established between the IB curriculum and global capitalism (Resnik, 2009).</w:t>
      </w:r>
    </w:p>
    <w:p w14:paraId="7ED87202" w14:textId="5D413533" w:rsidR="00001F5E" w:rsidRPr="000A4BDC" w:rsidRDefault="003B0ECD" w:rsidP="00582590">
      <w:pPr>
        <w:spacing w:line="276" w:lineRule="auto"/>
        <w:jc w:val="both"/>
        <w:rPr>
          <w:rFonts w:cstheme="minorHAnsi"/>
          <w:b/>
          <w:sz w:val="24"/>
          <w:szCs w:val="24"/>
        </w:rPr>
      </w:pPr>
      <w:r w:rsidRPr="000A4BDC">
        <w:rPr>
          <w:rFonts w:cstheme="minorHAnsi"/>
          <w:sz w:val="24"/>
          <w:szCs w:val="24"/>
        </w:rPr>
        <w:t>The paper</w:t>
      </w:r>
      <w:r w:rsidR="00A57C2B" w:rsidRPr="000A4BDC">
        <w:rPr>
          <w:rFonts w:cstheme="minorHAnsi"/>
          <w:sz w:val="24"/>
          <w:szCs w:val="24"/>
        </w:rPr>
        <w:t xml:space="preserve"> first contextualises </w:t>
      </w:r>
      <w:r w:rsidR="00C63A5B" w:rsidRPr="009B50B6">
        <w:rPr>
          <w:rFonts w:cstheme="minorHAnsi"/>
          <w:sz w:val="24"/>
          <w:szCs w:val="24"/>
        </w:rPr>
        <w:t>t</w:t>
      </w:r>
      <w:r w:rsidR="00D91A6A" w:rsidRPr="009B50B6">
        <w:rPr>
          <w:rFonts w:cstheme="minorHAnsi"/>
          <w:sz w:val="24"/>
          <w:szCs w:val="24"/>
        </w:rPr>
        <w:t>he introduction of the International Baccalaureate programme</w:t>
      </w:r>
      <w:r w:rsidR="00C63A5B" w:rsidRPr="000A4BDC">
        <w:rPr>
          <w:rFonts w:cstheme="minorHAnsi"/>
          <w:sz w:val="24"/>
          <w:szCs w:val="24"/>
        </w:rPr>
        <w:t xml:space="preserve"> </w:t>
      </w:r>
      <w:r w:rsidR="00A57C2B" w:rsidRPr="000A4BDC">
        <w:rPr>
          <w:rFonts w:cstheme="minorHAnsi"/>
          <w:sz w:val="24"/>
          <w:szCs w:val="24"/>
        </w:rPr>
        <w:t>in England with a literature review on educational policy that illustrates the process of elite formation within the education</w:t>
      </w:r>
      <w:r w:rsidR="00883BBC" w:rsidRPr="000A4BDC">
        <w:rPr>
          <w:rFonts w:cstheme="minorHAnsi"/>
          <w:sz w:val="24"/>
          <w:szCs w:val="24"/>
        </w:rPr>
        <w:t>al</w:t>
      </w:r>
      <w:r w:rsidR="006F62A3" w:rsidRPr="000A4BDC">
        <w:rPr>
          <w:rFonts w:cstheme="minorHAnsi"/>
          <w:sz w:val="24"/>
          <w:szCs w:val="24"/>
        </w:rPr>
        <w:t xml:space="preserve"> system. </w:t>
      </w:r>
      <w:r w:rsidR="002945B8" w:rsidRPr="000A4BDC">
        <w:rPr>
          <w:rFonts w:cstheme="minorHAnsi"/>
          <w:sz w:val="24"/>
          <w:szCs w:val="24"/>
        </w:rPr>
        <w:t>The interview data reveal the tensions experienced by the Senior Leadership Teams in</w:t>
      </w:r>
      <w:r w:rsidR="00475675" w:rsidRPr="000A4BDC">
        <w:rPr>
          <w:rFonts w:cstheme="minorHAnsi"/>
          <w:sz w:val="24"/>
          <w:szCs w:val="24"/>
        </w:rPr>
        <w:t xml:space="preserve"> the</w:t>
      </w:r>
      <w:r w:rsidR="002945B8" w:rsidRPr="000A4BDC">
        <w:rPr>
          <w:rFonts w:cstheme="minorHAnsi"/>
          <w:sz w:val="24"/>
          <w:szCs w:val="24"/>
        </w:rPr>
        <w:t xml:space="preserve"> eight centres</w:t>
      </w:r>
      <w:r w:rsidR="00475675" w:rsidRPr="000A4BDC">
        <w:rPr>
          <w:rFonts w:cstheme="minorHAnsi"/>
          <w:sz w:val="24"/>
          <w:szCs w:val="24"/>
        </w:rPr>
        <w:t xml:space="preserve"> taking part in the study, </w:t>
      </w:r>
      <w:r w:rsidR="008931B0" w:rsidRPr="000A4BDC">
        <w:rPr>
          <w:rFonts w:cstheme="minorHAnsi"/>
          <w:sz w:val="24"/>
          <w:szCs w:val="24"/>
        </w:rPr>
        <w:t>as they discuss</w:t>
      </w:r>
      <w:r w:rsidR="002945B8" w:rsidRPr="000A4BDC">
        <w:rPr>
          <w:rFonts w:cstheme="minorHAnsi"/>
          <w:sz w:val="24"/>
          <w:szCs w:val="24"/>
        </w:rPr>
        <w:t xml:space="preserve"> the effect</w:t>
      </w:r>
      <w:r w:rsidR="00475675" w:rsidRPr="000A4BDC">
        <w:rPr>
          <w:rFonts w:cstheme="minorHAnsi"/>
          <w:sz w:val="24"/>
          <w:szCs w:val="24"/>
        </w:rPr>
        <w:t>s</w:t>
      </w:r>
      <w:r w:rsidR="002945B8" w:rsidRPr="000A4BDC">
        <w:rPr>
          <w:rFonts w:cstheme="minorHAnsi"/>
          <w:sz w:val="24"/>
          <w:szCs w:val="24"/>
        </w:rPr>
        <w:t xml:space="preserve"> of educational policy on wider participation</w:t>
      </w:r>
      <w:r w:rsidR="00475675" w:rsidRPr="000A4BDC">
        <w:rPr>
          <w:rFonts w:cstheme="minorHAnsi"/>
          <w:sz w:val="24"/>
          <w:szCs w:val="24"/>
        </w:rPr>
        <w:t xml:space="preserve"> and access</w:t>
      </w:r>
      <w:r w:rsidR="00216BE1" w:rsidRPr="000A4BDC">
        <w:rPr>
          <w:rFonts w:cstheme="minorHAnsi"/>
          <w:sz w:val="24"/>
          <w:szCs w:val="24"/>
        </w:rPr>
        <w:t xml:space="preserve">, and subject-choices </w:t>
      </w:r>
      <w:r w:rsidR="00475675" w:rsidRPr="000A4BDC">
        <w:rPr>
          <w:rFonts w:cstheme="minorHAnsi"/>
          <w:sz w:val="24"/>
          <w:szCs w:val="24"/>
        </w:rPr>
        <w:t xml:space="preserve">  </w:t>
      </w:r>
      <w:r w:rsidR="00216BE1" w:rsidRPr="000A4BDC">
        <w:rPr>
          <w:rFonts w:cstheme="minorHAnsi"/>
          <w:sz w:val="24"/>
          <w:szCs w:val="24"/>
        </w:rPr>
        <w:t xml:space="preserve">in </w:t>
      </w:r>
      <w:r w:rsidR="00475675" w:rsidRPr="000A4BDC">
        <w:rPr>
          <w:rFonts w:cstheme="minorHAnsi"/>
          <w:sz w:val="24"/>
          <w:szCs w:val="24"/>
        </w:rPr>
        <w:t>higher education.</w:t>
      </w:r>
    </w:p>
    <w:p w14:paraId="509ABC8C" w14:textId="77777777" w:rsidR="00EE1DDB" w:rsidRPr="000A4BDC" w:rsidRDefault="00EE1DDB" w:rsidP="00582590">
      <w:pPr>
        <w:spacing w:line="276" w:lineRule="auto"/>
        <w:jc w:val="both"/>
        <w:rPr>
          <w:rFonts w:cstheme="minorHAnsi"/>
          <w:b/>
          <w:i/>
          <w:sz w:val="24"/>
          <w:szCs w:val="24"/>
        </w:rPr>
      </w:pPr>
      <w:r w:rsidRPr="000A4BDC">
        <w:rPr>
          <w:rFonts w:cstheme="minorHAnsi"/>
          <w:b/>
          <w:i/>
          <w:sz w:val="24"/>
          <w:szCs w:val="24"/>
        </w:rPr>
        <w:t>Literature review-</w:t>
      </w:r>
      <w:r w:rsidR="00A47D2D" w:rsidRPr="000A4BDC">
        <w:rPr>
          <w:rFonts w:cstheme="minorHAnsi"/>
          <w:b/>
          <w:i/>
          <w:sz w:val="24"/>
          <w:szCs w:val="24"/>
        </w:rPr>
        <w:t>Understanding Education Policy</w:t>
      </w:r>
      <w:r w:rsidR="000E2E01" w:rsidRPr="000A4BDC">
        <w:rPr>
          <w:rFonts w:cstheme="minorHAnsi"/>
          <w:b/>
          <w:i/>
          <w:sz w:val="24"/>
          <w:szCs w:val="24"/>
        </w:rPr>
        <w:t>.</w:t>
      </w:r>
    </w:p>
    <w:p w14:paraId="5B403095" w14:textId="77777777" w:rsidR="00BE014A" w:rsidRPr="000A4BDC" w:rsidRDefault="00A47D2D" w:rsidP="00582590">
      <w:pPr>
        <w:spacing w:line="276" w:lineRule="auto"/>
        <w:jc w:val="both"/>
        <w:rPr>
          <w:rFonts w:cstheme="minorHAnsi"/>
          <w:sz w:val="24"/>
          <w:szCs w:val="24"/>
        </w:rPr>
      </w:pPr>
      <w:r w:rsidRPr="000A4BDC">
        <w:rPr>
          <w:rFonts w:cstheme="minorHAnsi"/>
          <w:sz w:val="24"/>
          <w:szCs w:val="24"/>
        </w:rPr>
        <w:t>In view of the rapid growth in the IB</w:t>
      </w:r>
      <w:r w:rsidR="00D56B44" w:rsidRPr="000A4BDC">
        <w:rPr>
          <w:rFonts w:cstheme="minorHAnsi"/>
          <w:sz w:val="24"/>
          <w:szCs w:val="24"/>
        </w:rPr>
        <w:t>DP</w:t>
      </w:r>
      <w:r w:rsidRPr="000A4BDC">
        <w:rPr>
          <w:rFonts w:cstheme="minorHAnsi"/>
          <w:sz w:val="24"/>
          <w:szCs w:val="24"/>
        </w:rPr>
        <w:t>, the role of non-mandatory policy change is clearly of</w:t>
      </w:r>
      <w:r w:rsidR="00475675" w:rsidRPr="000A4BDC">
        <w:rPr>
          <w:rFonts w:cstheme="minorHAnsi"/>
          <w:sz w:val="24"/>
          <w:szCs w:val="24"/>
        </w:rPr>
        <w:t xml:space="preserve"> interest in social p</w:t>
      </w:r>
      <w:r w:rsidRPr="000A4BDC">
        <w:rPr>
          <w:rFonts w:cstheme="minorHAnsi"/>
          <w:sz w:val="24"/>
          <w:szCs w:val="24"/>
        </w:rPr>
        <w:t>olicy terms, particularly considering</w:t>
      </w:r>
      <w:r w:rsidR="00EE1A9A" w:rsidRPr="000A4BDC">
        <w:rPr>
          <w:rFonts w:cstheme="minorHAnsi"/>
          <w:sz w:val="24"/>
          <w:szCs w:val="24"/>
        </w:rPr>
        <w:t xml:space="preserve"> the changes in</w:t>
      </w:r>
      <w:r w:rsidRPr="000A4BDC">
        <w:rPr>
          <w:rFonts w:cstheme="minorHAnsi"/>
          <w:sz w:val="24"/>
          <w:szCs w:val="24"/>
        </w:rPr>
        <w:t xml:space="preserve"> English education</w:t>
      </w:r>
      <w:r w:rsidR="008931B0" w:rsidRPr="000A4BDC">
        <w:rPr>
          <w:rFonts w:cstheme="minorHAnsi"/>
          <w:sz w:val="24"/>
          <w:szCs w:val="24"/>
        </w:rPr>
        <w:t>al</w:t>
      </w:r>
      <w:r w:rsidRPr="000A4BDC">
        <w:rPr>
          <w:rFonts w:cstheme="minorHAnsi"/>
          <w:sz w:val="24"/>
          <w:szCs w:val="24"/>
        </w:rPr>
        <w:t xml:space="preserve"> policy in the last decade</w:t>
      </w:r>
      <w:r w:rsidR="00EE1A9A" w:rsidRPr="000A4BDC">
        <w:rPr>
          <w:rFonts w:cstheme="minorHAnsi"/>
          <w:sz w:val="24"/>
          <w:szCs w:val="24"/>
        </w:rPr>
        <w:t>, and how momentous these</w:t>
      </w:r>
      <w:r w:rsidRPr="000A4BDC">
        <w:rPr>
          <w:rFonts w:cstheme="minorHAnsi"/>
          <w:sz w:val="24"/>
          <w:szCs w:val="24"/>
        </w:rPr>
        <w:t xml:space="preserve"> change</w:t>
      </w:r>
      <w:r w:rsidR="00EE1A9A" w:rsidRPr="000A4BDC">
        <w:rPr>
          <w:rFonts w:cstheme="minorHAnsi"/>
          <w:sz w:val="24"/>
          <w:szCs w:val="24"/>
        </w:rPr>
        <w:t>s</w:t>
      </w:r>
      <w:r w:rsidR="00475675" w:rsidRPr="000A4BDC">
        <w:rPr>
          <w:rFonts w:cstheme="minorHAnsi"/>
          <w:sz w:val="24"/>
          <w:szCs w:val="24"/>
        </w:rPr>
        <w:t xml:space="preserve"> have been</w:t>
      </w:r>
      <w:r w:rsidRPr="000A4BDC">
        <w:rPr>
          <w:rFonts w:cstheme="minorHAnsi"/>
          <w:sz w:val="24"/>
          <w:szCs w:val="24"/>
        </w:rPr>
        <w:t xml:space="preserve">. </w:t>
      </w:r>
    </w:p>
    <w:p w14:paraId="4894A948" w14:textId="77777777" w:rsidR="00BE014A" w:rsidRPr="000A4BDC" w:rsidRDefault="00BE014A" w:rsidP="00D026CA">
      <w:pPr>
        <w:spacing w:line="276" w:lineRule="auto"/>
        <w:jc w:val="both"/>
        <w:rPr>
          <w:rFonts w:cstheme="minorHAnsi"/>
          <w:sz w:val="24"/>
          <w:szCs w:val="24"/>
        </w:rPr>
      </w:pPr>
      <w:r w:rsidRPr="009B50B6">
        <w:rPr>
          <w:rFonts w:cstheme="minorHAnsi"/>
          <w:sz w:val="24"/>
          <w:szCs w:val="24"/>
        </w:rPr>
        <w:t>The education policy that characterises the current climate began with the defeat of Labour in 2010, in particular the consolidation of centralization initiated by post-1988 education reforms and the extensive New Labour education reforms of the 1990s and 2000s.  The changes that form the backdrop to this study in particular are:</w:t>
      </w:r>
    </w:p>
    <w:p w14:paraId="0A2F113E" w14:textId="77777777" w:rsidR="00BE014A" w:rsidRPr="009B50B6" w:rsidRDefault="00D91A6A" w:rsidP="00BE014A">
      <w:pPr>
        <w:pStyle w:val="ListParagraph"/>
        <w:numPr>
          <w:ilvl w:val="0"/>
          <w:numId w:val="5"/>
        </w:numPr>
        <w:spacing w:line="240" w:lineRule="auto"/>
        <w:jc w:val="both"/>
        <w:rPr>
          <w:rFonts w:asciiTheme="minorHAnsi" w:hAnsiTheme="minorHAnsi" w:cstheme="minorHAnsi"/>
          <w:sz w:val="24"/>
          <w:szCs w:val="24"/>
        </w:rPr>
      </w:pPr>
      <w:r w:rsidRPr="009B50B6">
        <w:rPr>
          <w:rFonts w:asciiTheme="minorHAnsi" w:hAnsiTheme="minorHAnsi" w:cstheme="minorHAnsi"/>
          <w:sz w:val="24"/>
          <w:szCs w:val="24"/>
        </w:rPr>
        <w:t xml:space="preserve">the ideological shift that asserts that education is a consumer good, and parents and students have power to exercise choice </w:t>
      </w:r>
    </w:p>
    <w:p w14:paraId="4AB52215" w14:textId="77777777" w:rsidR="00BE014A" w:rsidRPr="009B50B6" w:rsidRDefault="00BE014A" w:rsidP="00BE014A">
      <w:pPr>
        <w:pStyle w:val="ListParagraph"/>
        <w:spacing w:line="240" w:lineRule="auto"/>
        <w:ind w:left="360"/>
        <w:jc w:val="both"/>
        <w:rPr>
          <w:rFonts w:asciiTheme="minorHAnsi" w:hAnsiTheme="minorHAnsi" w:cstheme="minorHAnsi"/>
          <w:sz w:val="24"/>
          <w:szCs w:val="24"/>
        </w:rPr>
      </w:pPr>
    </w:p>
    <w:p w14:paraId="21E96010" w14:textId="77777777" w:rsidR="00BE014A" w:rsidRPr="009B50B6" w:rsidRDefault="00D91A6A" w:rsidP="00BE014A">
      <w:pPr>
        <w:pStyle w:val="ListParagraph"/>
        <w:numPr>
          <w:ilvl w:val="0"/>
          <w:numId w:val="5"/>
        </w:numPr>
        <w:spacing w:line="240" w:lineRule="auto"/>
        <w:jc w:val="both"/>
        <w:rPr>
          <w:rFonts w:asciiTheme="minorHAnsi" w:hAnsiTheme="minorHAnsi" w:cstheme="minorHAnsi"/>
          <w:sz w:val="24"/>
          <w:szCs w:val="24"/>
        </w:rPr>
      </w:pPr>
      <w:r w:rsidRPr="009B50B6">
        <w:rPr>
          <w:rFonts w:asciiTheme="minorHAnsi" w:hAnsiTheme="minorHAnsi" w:cstheme="minorHAnsi"/>
          <w:sz w:val="24"/>
          <w:szCs w:val="24"/>
        </w:rPr>
        <w:t>the shift in power base from the traditional Local Education Authorities to individualized individual education</w:t>
      </w:r>
      <w:r w:rsidRPr="009B50B6">
        <w:rPr>
          <w:rFonts w:asciiTheme="minorHAnsi" w:hAnsiTheme="minorHAnsi" w:cstheme="minorHAnsi"/>
          <w:sz w:val="24"/>
          <w:szCs w:val="24"/>
          <w:lang w:val="en-GB"/>
        </w:rPr>
        <w:t xml:space="preserve"> provision, through individual schools or groups of schools</w:t>
      </w:r>
      <w:r w:rsidRPr="009B50B6">
        <w:rPr>
          <w:rFonts w:asciiTheme="minorHAnsi" w:hAnsiTheme="minorHAnsi" w:cstheme="minorHAnsi"/>
          <w:sz w:val="24"/>
          <w:szCs w:val="24"/>
        </w:rPr>
        <w:t xml:space="preserve"> </w:t>
      </w:r>
    </w:p>
    <w:p w14:paraId="111716E3" w14:textId="77777777" w:rsidR="00BE014A" w:rsidRPr="00D026CA" w:rsidRDefault="00BE014A" w:rsidP="00BE014A">
      <w:pPr>
        <w:pStyle w:val="ListParagraph"/>
        <w:spacing w:line="240" w:lineRule="auto"/>
        <w:ind w:left="360"/>
        <w:jc w:val="both"/>
        <w:rPr>
          <w:rFonts w:asciiTheme="minorHAnsi" w:hAnsiTheme="minorHAnsi" w:cstheme="minorHAnsi"/>
          <w:sz w:val="24"/>
          <w:szCs w:val="24"/>
          <w:highlight w:val="yellow"/>
        </w:rPr>
      </w:pPr>
    </w:p>
    <w:p w14:paraId="3DD5CA79" w14:textId="77777777" w:rsidR="00BE014A" w:rsidRPr="009B50B6" w:rsidRDefault="00D91A6A">
      <w:pPr>
        <w:pStyle w:val="ListParagraph"/>
        <w:numPr>
          <w:ilvl w:val="0"/>
          <w:numId w:val="5"/>
        </w:numPr>
        <w:spacing w:line="240" w:lineRule="auto"/>
        <w:jc w:val="both"/>
        <w:rPr>
          <w:rFonts w:asciiTheme="minorHAnsi" w:hAnsiTheme="minorHAnsi" w:cstheme="minorHAnsi"/>
          <w:sz w:val="24"/>
          <w:szCs w:val="24"/>
        </w:rPr>
      </w:pPr>
      <w:r w:rsidRPr="009B50B6">
        <w:rPr>
          <w:rFonts w:asciiTheme="minorHAnsi" w:hAnsiTheme="minorHAnsi" w:cstheme="minorHAnsi"/>
          <w:sz w:val="24"/>
          <w:szCs w:val="24"/>
        </w:rPr>
        <w:lastRenderedPageBreak/>
        <w:t>the shift in individual institutions’ power bases from the Senior Leadership Team to the middle tier in terms of day-to-day leadership, but explicitly not in terms of overall operational and strategic leadership</w:t>
      </w:r>
    </w:p>
    <w:p w14:paraId="4DC54CC9" w14:textId="77777777" w:rsidR="00BE014A" w:rsidRPr="009B50B6" w:rsidRDefault="00BE014A">
      <w:pPr>
        <w:pStyle w:val="ListParagraph"/>
        <w:spacing w:line="240" w:lineRule="auto"/>
        <w:ind w:left="360"/>
        <w:jc w:val="both"/>
        <w:rPr>
          <w:rFonts w:asciiTheme="minorHAnsi" w:hAnsiTheme="minorHAnsi" w:cstheme="minorHAnsi"/>
          <w:sz w:val="24"/>
          <w:szCs w:val="24"/>
        </w:rPr>
      </w:pPr>
    </w:p>
    <w:p w14:paraId="251FAA24" w14:textId="27EF9D48" w:rsidR="00BE014A" w:rsidRPr="009B50B6" w:rsidRDefault="00D91A6A">
      <w:pPr>
        <w:pStyle w:val="ListParagraph"/>
        <w:numPr>
          <w:ilvl w:val="0"/>
          <w:numId w:val="5"/>
        </w:numPr>
        <w:spacing w:line="240" w:lineRule="auto"/>
        <w:jc w:val="both"/>
        <w:rPr>
          <w:rFonts w:asciiTheme="minorHAnsi" w:hAnsiTheme="minorHAnsi" w:cstheme="minorHAnsi"/>
          <w:sz w:val="24"/>
          <w:szCs w:val="24"/>
        </w:rPr>
      </w:pPr>
      <w:r w:rsidRPr="009B50B6">
        <w:rPr>
          <w:rFonts w:asciiTheme="minorHAnsi" w:hAnsiTheme="minorHAnsi" w:cstheme="minorHAnsi"/>
          <w:sz w:val="24"/>
          <w:szCs w:val="24"/>
        </w:rPr>
        <w:t>the creation of Multi-Academy Trusts (MATs) and the nature of branding and chain building that this has recently been brought into education, some of which is ‘exogenous’ privatization (Ball, 2007)</w:t>
      </w:r>
    </w:p>
    <w:p w14:paraId="4ACEE8DD" w14:textId="77777777" w:rsidR="00BE014A" w:rsidRPr="009B50B6" w:rsidRDefault="00BE014A" w:rsidP="00BE014A">
      <w:pPr>
        <w:pStyle w:val="ListParagraph"/>
        <w:spacing w:line="240" w:lineRule="auto"/>
        <w:rPr>
          <w:rFonts w:asciiTheme="minorHAnsi" w:hAnsiTheme="minorHAnsi" w:cstheme="minorHAnsi"/>
          <w:sz w:val="24"/>
          <w:szCs w:val="24"/>
        </w:rPr>
      </w:pPr>
    </w:p>
    <w:p w14:paraId="5FED1F5C" w14:textId="5CDFFF21" w:rsidR="00090FE0" w:rsidRDefault="00D91A6A" w:rsidP="00090FE0">
      <w:pPr>
        <w:pStyle w:val="ListParagraph"/>
        <w:numPr>
          <w:ilvl w:val="0"/>
          <w:numId w:val="5"/>
        </w:numPr>
        <w:spacing w:before="120" w:after="240"/>
        <w:jc w:val="both"/>
        <w:rPr>
          <w:rFonts w:asciiTheme="minorHAnsi" w:hAnsiTheme="minorHAnsi" w:cstheme="minorHAnsi"/>
          <w:sz w:val="24"/>
          <w:szCs w:val="24"/>
        </w:rPr>
      </w:pPr>
      <w:r w:rsidRPr="009B50B6">
        <w:rPr>
          <w:rFonts w:asciiTheme="minorHAnsi" w:hAnsiTheme="minorHAnsi" w:cstheme="minorHAnsi"/>
          <w:sz w:val="24"/>
          <w:szCs w:val="24"/>
        </w:rPr>
        <w:t xml:space="preserve">an increasing awareness of ‘cultural class analysis’ that has its roots in Bourdieu, but has played out through the national media with the creation of the Great British Class Survey (GBCS, 2013) and the ensuing BBC online survey (Savage et al, 2015).  </w:t>
      </w:r>
    </w:p>
    <w:p w14:paraId="73454D17" w14:textId="77777777" w:rsidR="00090FE0" w:rsidRPr="00090FE0" w:rsidRDefault="00090FE0" w:rsidP="00090FE0">
      <w:pPr>
        <w:spacing w:after="0"/>
        <w:jc w:val="both"/>
        <w:rPr>
          <w:rFonts w:cstheme="minorHAnsi"/>
          <w:sz w:val="24"/>
          <w:szCs w:val="24"/>
        </w:rPr>
      </w:pPr>
    </w:p>
    <w:p w14:paraId="27F0471B" w14:textId="47C54B02" w:rsidR="00C63A5B" w:rsidRPr="009B50B6" w:rsidRDefault="00D91A6A" w:rsidP="00090FE0">
      <w:pPr>
        <w:pStyle w:val="ListParagraph"/>
        <w:numPr>
          <w:ilvl w:val="0"/>
          <w:numId w:val="5"/>
        </w:numPr>
        <w:spacing w:after="240" w:line="240" w:lineRule="auto"/>
        <w:jc w:val="both"/>
        <w:rPr>
          <w:rFonts w:asciiTheme="minorHAnsi" w:hAnsiTheme="minorHAnsi" w:cstheme="minorHAnsi"/>
          <w:sz w:val="24"/>
          <w:szCs w:val="24"/>
        </w:rPr>
      </w:pPr>
      <w:r w:rsidRPr="009B50B6">
        <w:rPr>
          <w:rFonts w:asciiTheme="minorHAnsi" w:hAnsiTheme="minorHAnsi" w:cstheme="minorHAnsi"/>
          <w:sz w:val="24"/>
          <w:szCs w:val="24"/>
        </w:rPr>
        <w:t>ever-increasing globalization and the lack of ‘limit’ on nation-state boundaries, as witnessed particularly in the London post-2007/8 crash years, with heavy foreign investment in capital such as housing, and investment in their children through independent school fees, particularly in high status public schools (HMC, 2016)</w:t>
      </w:r>
      <w:r w:rsidR="00285186" w:rsidRPr="009B50B6">
        <w:rPr>
          <w:rFonts w:asciiTheme="minorHAnsi" w:hAnsiTheme="minorHAnsi" w:cstheme="minorHAnsi"/>
          <w:sz w:val="24"/>
          <w:szCs w:val="24"/>
        </w:rPr>
        <w:t>.</w:t>
      </w:r>
    </w:p>
    <w:p w14:paraId="47E48E1B" w14:textId="2829B266" w:rsidR="008873E6" w:rsidRPr="000A4BDC" w:rsidRDefault="00A47D2D" w:rsidP="00582590">
      <w:pPr>
        <w:spacing w:line="276" w:lineRule="auto"/>
        <w:jc w:val="both"/>
        <w:rPr>
          <w:rFonts w:cstheme="minorHAnsi"/>
          <w:sz w:val="24"/>
          <w:szCs w:val="24"/>
        </w:rPr>
      </w:pPr>
      <w:r w:rsidRPr="000A4BDC">
        <w:rPr>
          <w:rFonts w:cstheme="minorHAnsi"/>
          <w:sz w:val="24"/>
          <w:szCs w:val="24"/>
        </w:rPr>
        <w:t xml:space="preserve"> </w:t>
      </w:r>
      <w:r w:rsidR="00F73F81" w:rsidRPr="000A4BDC">
        <w:rPr>
          <w:rFonts w:cstheme="minorHAnsi"/>
          <w:sz w:val="24"/>
          <w:szCs w:val="24"/>
        </w:rPr>
        <w:t>Parkin’s (1971) idea of social closure describes the phe</w:t>
      </w:r>
      <w:r w:rsidR="008B7332" w:rsidRPr="000A4BDC">
        <w:rPr>
          <w:rFonts w:cstheme="minorHAnsi"/>
          <w:sz w:val="24"/>
          <w:szCs w:val="24"/>
        </w:rPr>
        <w:t>nomenon observed in this study</w:t>
      </w:r>
      <w:r w:rsidR="00F73F81" w:rsidRPr="000A4BDC">
        <w:rPr>
          <w:rFonts w:cstheme="minorHAnsi"/>
          <w:sz w:val="24"/>
          <w:szCs w:val="24"/>
        </w:rPr>
        <w:t xml:space="preserve">, whereby </w:t>
      </w:r>
      <w:r w:rsidR="008B7332" w:rsidRPr="000A4BDC">
        <w:rPr>
          <w:rFonts w:cstheme="minorHAnsi"/>
          <w:sz w:val="24"/>
          <w:szCs w:val="24"/>
        </w:rPr>
        <w:t xml:space="preserve">restricting </w:t>
      </w:r>
      <w:r w:rsidR="00F73F81" w:rsidRPr="000A4BDC">
        <w:rPr>
          <w:rFonts w:cstheme="minorHAnsi"/>
          <w:sz w:val="24"/>
          <w:szCs w:val="24"/>
        </w:rPr>
        <w:t xml:space="preserve">access </w:t>
      </w:r>
      <w:r w:rsidR="00D91A6A" w:rsidRPr="00090FE0">
        <w:rPr>
          <w:rFonts w:cstheme="minorHAnsi"/>
          <w:sz w:val="24"/>
          <w:szCs w:val="24"/>
        </w:rPr>
        <w:t>to a wider choice of curriculum</w:t>
      </w:r>
      <w:r w:rsidR="008B7332" w:rsidRPr="00090FE0">
        <w:rPr>
          <w:rFonts w:cstheme="minorHAnsi"/>
          <w:sz w:val="24"/>
          <w:szCs w:val="24"/>
        </w:rPr>
        <w:t>,</w:t>
      </w:r>
      <w:r w:rsidR="008B7332" w:rsidRPr="000A4BDC">
        <w:rPr>
          <w:rFonts w:cstheme="minorHAnsi"/>
          <w:sz w:val="24"/>
          <w:szCs w:val="24"/>
        </w:rPr>
        <w:t xml:space="preserve"> such as that offered by the</w:t>
      </w:r>
      <w:r w:rsidR="00F73F81" w:rsidRPr="000A4BDC">
        <w:rPr>
          <w:rFonts w:cstheme="minorHAnsi"/>
          <w:sz w:val="24"/>
          <w:szCs w:val="24"/>
        </w:rPr>
        <w:t xml:space="preserve"> IBDP, </w:t>
      </w:r>
      <w:r w:rsidR="00475675" w:rsidRPr="000A4BDC">
        <w:rPr>
          <w:rFonts w:cstheme="minorHAnsi"/>
          <w:sz w:val="24"/>
          <w:szCs w:val="24"/>
        </w:rPr>
        <w:t>results in a limitation</w:t>
      </w:r>
      <w:r w:rsidR="008B7332" w:rsidRPr="000A4BDC">
        <w:rPr>
          <w:rFonts w:cstheme="minorHAnsi"/>
          <w:sz w:val="24"/>
          <w:szCs w:val="24"/>
        </w:rPr>
        <w:t xml:space="preserve"> of </w:t>
      </w:r>
      <w:r w:rsidR="00F73F81" w:rsidRPr="000A4BDC">
        <w:rPr>
          <w:rFonts w:cstheme="minorHAnsi"/>
          <w:sz w:val="24"/>
          <w:szCs w:val="24"/>
        </w:rPr>
        <w:t>social mobility</w:t>
      </w:r>
      <w:r w:rsidR="00475675" w:rsidRPr="000A4BDC">
        <w:rPr>
          <w:rFonts w:cstheme="minorHAnsi"/>
          <w:sz w:val="24"/>
          <w:szCs w:val="24"/>
        </w:rPr>
        <w:t xml:space="preserve"> that can be</w:t>
      </w:r>
      <w:r w:rsidR="00F73F81" w:rsidRPr="000A4BDC">
        <w:rPr>
          <w:rFonts w:cstheme="minorHAnsi"/>
          <w:sz w:val="24"/>
          <w:szCs w:val="24"/>
        </w:rPr>
        <w:t xml:space="preserve"> </w:t>
      </w:r>
      <w:r w:rsidR="008B7332" w:rsidRPr="000A4BDC">
        <w:rPr>
          <w:rFonts w:cstheme="minorHAnsi"/>
          <w:sz w:val="24"/>
          <w:szCs w:val="24"/>
        </w:rPr>
        <w:t xml:space="preserve">achieved </w:t>
      </w:r>
      <w:r w:rsidR="00F73F81" w:rsidRPr="000A4BDC">
        <w:rPr>
          <w:rFonts w:cstheme="minorHAnsi"/>
          <w:sz w:val="24"/>
          <w:szCs w:val="24"/>
        </w:rPr>
        <w:t>through education (Smith and White, 2015).</w:t>
      </w:r>
      <w:r w:rsidR="00FC5DB6" w:rsidRPr="000A4BDC">
        <w:rPr>
          <w:rFonts w:cstheme="minorHAnsi"/>
          <w:sz w:val="24"/>
          <w:szCs w:val="24"/>
        </w:rPr>
        <w:t xml:space="preserve"> Bourdieu’s</w:t>
      </w:r>
      <w:r w:rsidR="0037033A" w:rsidRPr="000A4BDC">
        <w:rPr>
          <w:rFonts w:cstheme="minorHAnsi"/>
          <w:sz w:val="24"/>
          <w:szCs w:val="24"/>
        </w:rPr>
        <w:t xml:space="preserve"> (1992</w:t>
      </w:r>
      <w:r w:rsidR="00FC5DB6" w:rsidRPr="000A4BDC">
        <w:rPr>
          <w:rFonts w:cstheme="minorHAnsi"/>
          <w:sz w:val="24"/>
          <w:szCs w:val="24"/>
        </w:rPr>
        <w:t>) twin concepts of cultural capital and social reproduction inside education see</w:t>
      </w:r>
      <w:r w:rsidR="00166C5F" w:rsidRPr="000A4BDC">
        <w:rPr>
          <w:rFonts w:cstheme="minorHAnsi"/>
          <w:sz w:val="24"/>
          <w:szCs w:val="24"/>
        </w:rPr>
        <w:t>m to fit the nature of the IB</w:t>
      </w:r>
      <w:r w:rsidR="00FC5DB6" w:rsidRPr="000A4BDC">
        <w:rPr>
          <w:rFonts w:cstheme="minorHAnsi"/>
          <w:sz w:val="24"/>
          <w:szCs w:val="24"/>
        </w:rPr>
        <w:t>DP, as a form of symbo</w:t>
      </w:r>
      <w:r w:rsidR="008B7332" w:rsidRPr="000A4BDC">
        <w:rPr>
          <w:rFonts w:cstheme="minorHAnsi"/>
          <w:sz w:val="24"/>
          <w:szCs w:val="24"/>
        </w:rPr>
        <w:t>lic “goods” (Swartz, 1997:42) tha</w:t>
      </w:r>
      <w:r w:rsidR="006746EB" w:rsidRPr="000A4BDC">
        <w:rPr>
          <w:rFonts w:cstheme="minorHAnsi"/>
          <w:sz w:val="24"/>
          <w:szCs w:val="24"/>
        </w:rPr>
        <w:t xml:space="preserve">t </w:t>
      </w:r>
      <w:r w:rsidR="00D91A6A" w:rsidRPr="00090FE0">
        <w:rPr>
          <w:rFonts w:cstheme="minorHAnsi"/>
          <w:sz w:val="24"/>
          <w:szCs w:val="24"/>
        </w:rPr>
        <w:t>potentially</w:t>
      </w:r>
      <w:r w:rsidR="00342195" w:rsidRPr="000A4BDC">
        <w:rPr>
          <w:rFonts w:cstheme="minorHAnsi"/>
          <w:sz w:val="24"/>
          <w:szCs w:val="24"/>
        </w:rPr>
        <w:t xml:space="preserve"> </w:t>
      </w:r>
      <w:r w:rsidR="006746EB" w:rsidRPr="000A4BDC">
        <w:rPr>
          <w:rFonts w:cstheme="minorHAnsi"/>
          <w:sz w:val="24"/>
          <w:szCs w:val="24"/>
        </w:rPr>
        <w:t>allows access to more prestigious forms of education. This process of reproduction is exemplified by Ball in terms of ‘narrative coherence’ (2003: 173), which illustrates how middle class families strive to employ education in order for their children to achieve a similar, if not higher, position in the socio-economic order.</w:t>
      </w:r>
    </w:p>
    <w:p w14:paraId="262C7D99" w14:textId="46117015" w:rsidR="008873E6" w:rsidRPr="000A4BDC" w:rsidRDefault="00184FC2" w:rsidP="00582590">
      <w:pPr>
        <w:spacing w:line="276" w:lineRule="auto"/>
        <w:jc w:val="both"/>
        <w:rPr>
          <w:rFonts w:cstheme="minorHAnsi"/>
          <w:sz w:val="24"/>
          <w:szCs w:val="24"/>
        </w:rPr>
      </w:pPr>
      <w:r w:rsidRPr="000A4BDC">
        <w:rPr>
          <w:rFonts w:cstheme="minorHAnsi"/>
          <w:sz w:val="24"/>
          <w:szCs w:val="24"/>
        </w:rPr>
        <w:t xml:space="preserve">From </w:t>
      </w:r>
      <w:r w:rsidR="008873E6" w:rsidRPr="000A4BDC">
        <w:rPr>
          <w:rFonts w:cstheme="minorHAnsi"/>
          <w:sz w:val="24"/>
          <w:szCs w:val="24"/>
        </w:rPr>
        <w:t>Ball’s (2002, 2003, 2006, and 2007)</w:t>
      </w:r>
      <w:r w:rsidRPr="000A4BDC">
        <w:rPr>
          <w:rFonts w:cstheme="minorHAnsi"/>
          <w:sz w:val="24"/>
          <w:szCs w:val="24"/>
        </w:rPr>
        <w:t xml:space="preserve"> analyses of the</w:t>
      </w:r>
      <w:r w:rsidR="008873E6" w:rsidRPr="000A4BDC">
        <w:rPr>
          <w:rFonts w:cstheme="minorHAnsi"/>
          <w:sz w:val="24"/>
          <w:szCs w:val="24"/>
        </w:rPr>
        <w:t xml:space="preserve"> middle class</w:t>
      </w:r>
      <w:r w:rsidRPr="000A4BDC">
        <w:rPr>
          <w:rFonts w:cstheme="minorHAnsi"/>
          <w:sz w:val="24"/>
          <w:szCs w:val="24"/>
        </w:rPr>
        <w:t>es</w:t>
      </w:r>
      <w:r w:rsidR="008873E6" w:rsidRPr="000A4BDC">
        <w:rPr>
          <w:rFonts w:cstheme="minorHAnsi"/>
          <w:sz w:val="24"/>
          <w:szCs w:val="24"/>
        </w:rPr>
        <w:t xml:space="preserve">, </w:t>
      </w:r>
      <w:r w:rsidR="00D56B44" w:rsidRPr="000A4BDC">
        <w:rPr>
          <w:rFonts w:cstheme="minorHAnsi"/>
          <w:sz w:val="24"/>
          <w:szCs w:val="24"/>
        </w:rPr>
        <w:t xml:space="preserve">it </w:t>
      </w:r>
      <w:r w:rsidRPr="000A4BDC">
        <w:rPr>
          <w:rFonts w:cstheme="minorHAnsi"/>
          <w:sz w:val="24"/>
          <w:szCs w:val="24"/>
        </w:rPr>
        <w:t xml:space="preserve">emerges that </w:t>
      </w:r>
      <w:r w:rsidR="008873E6" w:rsidRPr="000A4BDC">
        <w:rPr>
          <w:rFonts w:cstheme="minorHAnsi"/>
          <w:sz w:val="24"/>
          <w:szCs w:val="24"/>
        </w:rPr>
        <w:t xml:space="preserve">the distinctions inside middle class groups are often based around their use of schooling and curriculum choice.  </w:t>
      </w:r>
      <w:r w:rsidR="006678E9" w:rsidRPr="000A4BDC">
        <w:rPr>
          <w:rFonts w:cstheme="minorHAnsi"/>
          <w:sz w:val="24"/>
          <w:szCs w:val="24"/>
        </w:rPr>
        <w:t>Indeed, t</w:t>
      </w:r>
      <w:r w:rsidR="008873E6" w:rsidRPr="000A4BDC">
        <w:rPr>
          <w:rFonts w:cstheme="minorHAnsi"/>
          <w:sz w:val="24"/>
          <w:szCs w:val="24"/>
        </w:rPr>
        <w:t xml:space="preserve">he decisions that are made intra-class </w:t>
      </w:r>
      <w:r w:rsidR="00D50599" w:rsidRPr="000A4BDC">
        <w:rPr>
          <w:rFonts w:cstheme="minorHAnsi"/>
          <w:sz w:val="24"/>
          <w:szCs w:val="24"/>
        </w:rPr>
        <w:t xml:space="preserve">are more </w:t>
      </w:r>
      <w:r w:rsidR="008873E6" w:rsidRPr="000A4BDC">
        <w:rPr>
          <w:rFonts w:cstheme="minorHAnsi"/>
          <w:sz w:val="24"/>
          <w:szCs w:val="24"/>
        </w:rPr>
        <w:t xml:space="preserve">often signifiers of social grouping than inter-class differences.  </w:t>
      </w:r>
      <w:r w:rsidR="00CD23A9" w:rsidRPr="000A4BDC">
        <w:rPr>
          <w:rFonts w:cstheme="minorHAnsi"/>
          <w:sz w:val="24"/>
          <w:szCs w:val="24"/>
        </w:rPr>
        <w:t>This is particularly evident in the type of choices that middle class groups exercise in regard to state and independent provision</w:t>
      </w:r>
      <w:r w:rsidR="00D50599" w:rsidRPr="000A4BDC">
        <w:rPr>
          <w:rFonts w:cstheme="minorHAnsi"/>
          <w:sz w:val="24"/>
          <w:szCs w:val="24"/>
        </w:rPr>
        <w:t>s</w:t>
      </w:r>
      <w:r w:rsidR="00CD23A9" w:rsidRPr="000A4BDC">
        <w:rPr>
          <w:rFonts w:cstheme="minorHAnsi"/>
          <w:sz w:val="24"/>
          <w:szCs w:val="24"/>
        </w:rPr>
        <w:t xml:space="preserve">. </w:t>
      </w:r>
      <w:r w:rsidR="008873E6" w:rsidRPr="000A4BDC">
        <w:rPr>
          <w:rFonts w:cstheme="minorHAnsi"/>
          <w:sz w:val="24"/>
          <w:szCs w:val="24"/>
        </w:rPr>
        <w:t>In this sense, if the local state choice does not have the same curriculum offering as the independent provision, and parents and students are conscious of what may be ‘better’ in a diffe</w:t>
      </w:r>
      <w:r w:rsidR="00CD23A9" w:rsidRPr="000A4BDC">
        <w:rPr>
          <w:rFonts w:cstheme="minorHAnsi"/>
          <w:sz w:val="24"/>
          <w:szCs w:val="24"/>
        </w:rPr>
        <w:t xml:space="preserve">rent educational context, then </w:t>
      </w:r>
      <w:r w:rsidR="008873E6" w:rsidRPr="000A4BDC">
        <w:rPr>
          <w:rFonts w:cstheme="minorHAnsi"/>
          <w:sz w:val="24"/>
          <w:szCs w:val="24"/>
        </w:rPr>
        <w:t>the opportunity to choose between the state sector or the independent sector is often distinctive of a particular clas</w:t>
      </w:r>
      <w:r w:rsidR="00CD23A9" w:rsidRPr="000A4BDC">
        <w:rPr>
          <w:rFonts w:cstheme="minorHAnsi"/>
          <w:sz w:val="24"/>
          <w:szCs w:val="24"/>
        </w:rPr>
        <w:t>s group or sub-group.  The</w:t>
      </w:r>
      <w:r w:rsidR="008873E6" w:rsidRPr="000A4BDC">
        <w:rPr>
          <w:rFonts w:cstheme="minorHAnsi"/>
          <w:sz w:val="24"/>
          <w:szCs w:val="24"/>
        </w:rPr>
        <w:t xml:space="preserve"> workings of this latter group, </w:t>
      </w:r>
      <w:r w:rsidR="00CD23A9" w:rsidRPr="000A4BDC">
        <w:rPr>
          <w:rFonts w:cstheme="minorHAnsi"/>
          <w:sz w:val="24"/>
          <w:szCs w:val="24"/>
        </w:rPr>
        <w:t xml:space="preserve">which includes </w:t>
      </w:r>
      <w:r w:rsidR="008873E6" w:rsidRPr="000A4BDC">
        <w:rPr>
          <w:rFonts w:cstheme="minorHAnsi"/>
          <w:sz w:val="24"/>
          <w:szCs w:val="24"/>
        </w:rPr>
        <w:t>an interna</w:t>
      </w:r>
      <w:r w:rsidR="00CD23A9" w:rsidRPr="000A4BDC">
        <w:rPr>
          <w:rFonts w:cstheme="minorHAnsi"/>
          <w:sz w:val="24"/>
          <w:szCs w:val="24"/>
        </w:rPr>
        <w:t>tionally differentiated elite, is illustrated by</w:t>
      </w:r>
      <w:r w:rsidR="008873E6" w:rsidRPr="000A4BDC">
        <w:rPr>
          <w:rFonts w:cstheme="minorHAnsi"/>
          <w:sz w:val="24"/>
          <w:szCs w:val="24"/>
        </w:rPr>
        <w:t xml:space="preserve"> the ‘cultural-class analysis’ o</w:t>
      </w:r>
      <w:r w:rsidR="00CD23A9" w:rsidRPr="000A4BDC">
        <w:rPr>
          <w:rFonts w:cstheme="minorHAnsi"/>
          <w:sz w:val="24"/>
          <w:szCs w:val="24"/>
        </w:rPr>
        <w:t xml:space="preserve">f </w:t>
      </w:r>
      <w:r w:rsidR="0037033A" w:rsidRPr="000A4BDC">
        <w:rPr>
          <w:rFonts w:cstheme="minorHAnsi"/>
          <w:sz w:val="24"/>
          <w:szCs w:val="24"/>
        </w:rPr>
        <w:t>Savage</w:t>
      </w:r>
      <w:r w:rsidR="00076D74" w:rsidRPr="000A4BDC">
        <w:rPr>
          <w:rFonts w:cstheme="minorHAnsi"/>
          <w:sz w:val="24"/>
          <w:szCs w:val="24"/>
        </w:rPr>
        <w:t xml:space="preserve"> </w:t>
      </w:r>
      <w:r w:rsidR="00F61732">
        <w:rPr>
          <w:rFonts w:cstheme="minorHAnsi"/>
          <w:sz w:val="24"/>
          <w:szCs w:val="24"/>
        </w:rPr>
        <w:t>et al</w:t>
      </w:r>
      <w:r w:rsidR="00836CAE" w:rsidRPr="000A4BDC">
        <w:rPr>
          <w:rFonts w:cstheme="minorHAnsi"/>
          <w:sz w:val="24"/>
          <w:szCs w:val="24"/>
        </w:rPr>
        <w:t xml:space="preserve"> </w:t>
      </w:r>
      <w:r w:rsidR="00CD23A9" w:rsidRPr="000A4BDC">
        <w:rPr>
          <w:rFonts w:cstheme="minorHAnsi"/>
          <w:sz w:val="24"/>
          <w:szCs w:val="24"/>
        </w:rPr>
        <w:t>(2015)</w:t>
      </w:r>
      <w:r w:rsidR="008873E6" w:rsidRPr="000A4BDC">
        <w:rPr>
          <w:rFonts w:cstheme="minorHAnsi"/>
          <w:sz w:val="24"/>
          <w:szCs w:val="24"/>
        </w:rPr>
        <w:t>. Archer’s writings (2013) on the social origins of educational systems a</w:t>
      </w:r>
      <w:r w:rsidR="00CD23A9" w:rsidRPr="000A4BDC">
        <w:rPr>
          <w:rFonts w:cstheme="minorHAnsi"/>
          <w:sz w:val="24"/>
          <w:szCs w:val="24"/>
        </w:rPr>
        <w:t>re pertinent in this analysis of educational change:</w:t>
      </w:r>
    </w:p>
    <w:p w14:paraId="13DB1D9E" w14:textId="77777777" w:rsidR="008873E6" w:rsidRPr="000A4BDC" w:rsidRDefault="008873E6" w:rsidP="00A725DA">
      <w:pPr>
        <w:spacing w:after="0" w:line="240" w:lineRule="auto"/>
        <w:ind w:left="720" w:right="805"/>
        <w:jc w:val="both"/>
        <w:rPr>
          <w:rFonts w:cstheme="minorHAnsi"/>
          <w:sz w:val="24"/>
          <w:szCs w:val="24"/>
        </w:rPr>
      </w:pPr>
      <w:r w:rsidRPr="000A4BDC">
        <w:rPr>
          <w:rFonts w:cstheme="minorHAnsi"/>
          <w:sz w:val="24"/>
          <w:szCs w:val="24"/>
        </w:rPr>
        <w:t>to understand educational interaction means grasping how structural factors shape and action situations and why in turn these are interpreted in particular ways by the people involved.  To explain educational change means theorizing about these joint determinants of interaction at their point of intersection.</w:t>
      </w:r>
    </w:p>
    <w:p w14:paraId="580BF15E" w14:textId="77777777" w:rsidR="008873E6" w:rsidRPr="000A4BDC" w:rsidRDefault="008873E6" w:rsidP="00A725DA">
      <w:pPr>
        <w:spacing w:after="0" w:line="240" w:lineRule="auto"/>
        <w:ind w:left="720" w:right="805"/>
        <w:jc w:val="both"/>
        <w:rPr>
          <w:rFonts w:cstheme="minorHAnsi"/>
          <w:sz w:val="24"/>
          <w:szCs w:val="24"/>
        </w:rPr>
      </w:pPr>
      <w:r w:rsidRPr="000A4BDC">
        <w:rPr>
          <w:rFonts w:cstheme="minorHAnsi"/>
          <w:sz w:val="24"/>
          <w:szCs w:val="24"/>
        </w:rPr>
        <w:t>Archer, 2013: 89</w:t>
      </w:r>
    </w:p>
    <w:p w14:paraId="5D377B1D" w14:textId="77777777" w:rsidR="00A725DA" w:rsidRPr="000A4BDC" w:rsidRDefault="00A725DA" w:rsidP="00A725DA">
      <w:pPr>
        <w:spacing w:after="0" w:line="240" w:lineRule="auto"/>
        <w:ind w:left="720" w:right="805"/>
        <w:jc w:val="both"/>
        <w:rPr>
          <w:rFonts w:cstheme="minorHAnsi"/>
          <w:sz w:val="24"/>
          <w:szCs w:val="24"/>
        </w:rPr>
      </w:pPr>
    </w:p>
    <w:p w14:paraId="0CC759BB" w14:textId="7CFE5612" w:rsidR="00A431F1" w:rsidRPr="000A4BDC" w:rsidRDefault="00CD23A9" w:rsidP="00582590">
      <w:pPr>
        <w:spacing w:line="276" w:lineRule="auto"/>
        <w:jc w:val="both"/>
        <w:rPr>
          <w:rFonts w:cstheme="minorHAnsi"/>
          <w:sz w:val="24"/>
          <w:szCs w:val="24"/>
        </w:rPr>
      </w:pPr>
      <w:r w:rsidRPr="00090FE0">
        <w:rPr>
          <w:rFonts w:cstheme="minorHAnsi"/>
          <w:sz w:val="24"/>
          <w:szCs w:val="24"/>
        </w:rPr>
        <w:t>T</w:t>
      </w:r>
      <w:r w:rsidR="008873E6" w:rsidRPr="00090FE0">
        <w:rPr>
          <w:rFonts w:cstheme="minorHAnsi"/>
          <w:sz w:val="24"/>
          <w:szCs w:val="24"/>
        </w:rPr>
        <w:t xml:space="preserve">his </w:t>
      </w:r>
      <w:r w:rsidRPr="00090FE0">
        <w:rPr>
          <w:rFonts w:cstheme="minorHAnsi"/>
          <w:sz w:val="24"/>
          <w:szCs w:val="24"/>
        </w:rPr>
        <w:t xml:space="preserve">interaction between structural factors and the actions of the people involved </w:t>
      </w:r>
      <w:r w:rsidR="008873E6" w:rsidRPr="00090FE0">
        <w:rPr>
          <w:rFonts w:cstheme="minorHAnsi"/>
          <w:sz w:val="24"/>
          <w:szCs w:val="24"/>
        </w:rPr>
        <w:t>relates precisely to the space in the education system where traditional middle class group interests (or elite group interests</w:t>
      </w:r>
      <w:r w:rsidRPr="00090FE0">
        <w:rPr>
          <w:rFonts w:cstheme="minorHAnsi"/>
          <w:sz w:val="24"/>
          <w:szCs w:val="24"/>
        </w:rPr>
        <w:t xml:space="preserve">, </w:t>
      </w:r>
      <w:r w:rsidR="0037033A" w:rsidRPr="00090FE0">
        <w:rPr>
          <w:rFonts w:cstheme="minorHAnsi"/>
          <w:sz w:val="24"/>
          <w:szCs w:val="24"/>
        </w:rPr>
        <w:t>Savage</w:t>
      </w:r>
      <w:r w:rsidR="00076D74" w:rsidRPr="00090FE0">
        <w:rPr>
          <w:rFonts w:cstheme="minorHAnsi"/>
          <w:sz w:val="24"/>
          <w:szCs w:val="24"/>
        </w:rPr>
        <w:t xml:space="preserve"> </w:t>
      </w:r>
      <w:r w:rsidR="00F61732" w:rsidRPr="00090FE0">
        <w:rPr>
          <w:rFonts w:cstheme="minorHAnsi"/>
          <w:sz w:val="24"/>
          <w:szCs w:val="24"/>
        </w:rPr>
        <w:t>et al</w:t>
      </w:r>
      <w:r w:rsidRPr="00090FE0">
        <w:rPr>
          <w:rFonts w:cstheme="minorHAnsi"/>
          <w:sz w:val="24"/>
          <w:szCs w:val="24"/>
        </w:rPr>
        <w:t>, 2015</w:t>
      </w:r>
      <w:r w:rsidR="008873E6" w:rsidRPr="00090FE0">
        <w:rPr>
          <w:rFonts w:cstheme="minorHAnsi"/>
          <w:sz w:val="24"/>
          <w:szCs w:val="24"/>
        </w:rPr>
        <w:t>) can be seen to be intersecting with a globally mobile group, in order to access a curriculum that potentially confers social advantage</w:t>
      </w:r>
      <w:r w:rsidR="00A95B75" w:rsidRPr="00090FE0">
        <w:rPr>
          <w:rFonts w:cstheme="minorHAnsi"/>
          <w:sz w:val="24"/>
          <w:szCs w:val="24"/>
        </w:rPr>
        <w:t xml:space="preserve">. </w:t>
      </w:r>
      <w:r w:rsidR="006A7534" w:rsidRPr="00090FE0">
        <w:rPr>
          <w:rFonts w:cstheme="minorHAnsi"/>
          <w:sz w:val="24"/>
          <w:szCs w:val="24"/>
        </w:rPr>
        <w:t>However, this</w:t>
      </w:r>
      <w:r w:rsidR="00A95B75" w:rsidRPr="00090FE0">
        <w:rPr>
          <w:rFonts w:cstheme="minorHAnsi"/>
          <w:sz w:val="24"/>
          <w:szCs w:val="24"/>
        </w:rPr>
        <w:t xml:space="preserve"> advantage is</w:t>
      </w:r>
      <w:r w:rsidR="00D91A6A" w:rsidRPr="00090FE0">
        <w:rPr>
          <w:rFonts w:cstheme="minorHAnsi"/>
          <w:sz w:val="24"/>
          <w:szCs w:val="24"/>
        </w:rPr>
        <w:t xml:space="preserve"> not necessarily</w:t>
      </w:r>
      <w:r w:rsidR="00A95B75" w:rsidRPr="00090FE0">
        <w:rPr>
          <w:rFonts w:cstheme="minorHAnsi"/>
          <w:sz w:val="24"/>
          <w:szCs w:val="24"/>
        </w:rPr>
        <w:t xml:space="preserve"> conferred</w:t>
      </w:r>
      <w:r w:rsidR="00D91A6A" w:rsidRPr="00090FE0">
        <w:rPr>
          <w:rFonts w:cstheme="minorHAnsi"/>
          <w:sz w:val="24"/>
          <w:szCs w:val="24"/>
        </w:rPr>
        <w:t xml:space="preserve"> through differentiated</w:t>
      </w:r>
      <w:r w:rsidR="00342195" w:rsidRPr="00090FE0">
        <w:rPr>
          <w:rFonts w:cstheme="minorHAnsi"/>
          <w:sz w:val="24"/>
          <w:szCs w:val="24"/>
        </w:rPr>
        <w:t xml:space="preserve"> </w:t>
      </w:r>
      <w:r w:rsidR="008873E6" w:rsidRPr="00090FE0">
        <w:rPr>
          <w:rFonts w:cstheme="minorHAnsi"/>
          <w:sz w:val="24"/>
          <w:szCs w:val="24"/>
        </w:rPr>
        <w:t xml:space="preserve">access to </w:t>
      </w:r>
      <w:r w:rsidR="00D91A6A" w:rsidRPr="00090FE0">
        <w:rPr>
          <w:rFonts w:cstheme="minorHAnsi"/>
          <w:sz w:val="24"/>
          <w:szCs w:val="24"/>
        </w:rPr>
        <w:t>Higher Education Institutions</w:t>
      </w:r>
      <w:r w:rsidR="00A431F1" w:rsidRPr="00090FE0">
        <w:rPr>
          <w:rFonts w:cstheme="minorHAnsi"/>
          <w:sz w:val="24"/>
          <w:szCs w:val="24"/>
        </w:rPr>
        <w:t>,</w:t>
      </w:r>
      <w:r w:rsidR="00C63A5B" w:rsidRPr="00090FE0">
        <w:rPr>
          <w:rFonts w:cstheme="minorHAnsi"/>
          <w:sz w:val="24"/>
          <w:szCs w:val="24"/>
        </w:rPr>
        <w:t xml:space="preserve"> </w:t>
      </w:r>
      <w:r w:rsidR="00D91A6A" w:rsidRPr="00090FE0">
        <w:rPr>
          <w:rFonts w:cstheme="minorHAnsi"/>
          <w:strike/>
          <w:sz w:val="24"/>
          <w:szCs w:val="24"/>
        </w:rPr>
        <w:t>HEIs</w:t>
      </w:r>
      <w:r w:rsidR="00D91A6A" w:rsidRPr="00090FE0">
        <w:rPr>
          <w:rFonts w:cstheme="minorHAnsi"/>
          <w:sz w:val="24"/>
          <w:szCs w:val="24"/>
        </w:rPr>
        <w:t xml:space="preserve"> an area that requires further research</w:t>
      </w:r>
      <w:r w:rsidR="00A431F1" w:rsidRPr="00090FE0">
        <w:rPr>
          <w:rFonts w:cstheme="minorHAnsi"/>
          <w:sz w:val="24"/>
          <w:szCs w:val="24"/>
        </w:rPr>
        <w:t xml:space="preserve">. Instead, this research process identified the </w:t>
      </w:r>
      <w:r w:rsidR="006A7534" w:rsidRPr="00090FE0">
        <w:rPr>
          <w:rFonts w:cstheme="minorHAnsi"/>
          <w:sz w:val="24"/>
          <w:szCs w:val="24"/>
        </w:rPr>
        <w:t xml:space="preserve">advantage conferred by the </w:t>
      </w:r>
      <w:r w:rsidR="00A431F1" w:rsidRPr="00090FE0">
        <w:rPr>
          <w:rFonts w:cstheme="minorHAnsi"/>
          <w:sz w:val="24"/>
          <w:szCs w:val="24"/>
        </w:rPr>
        <w:t>IBDP in terms of a positional good offered to those who had access to it.</w:t>
      </w:r>
      <w:r w:rsidR="00342195" w:rsidRPr="00090FE0">
        <w:rPr>
          <w:rFonts w:cstheme="minorHAnsi"/>
          <w:sz w:val="24"/>
          <w:szCs w:val="24"/>
        </w:rPr>
        <w:t xml:space="preserve"> </w:t>
      </w:r>
    </w:p>
    <w:p w14:paraId="6A8F2140" w14:textId="4438DCAA" w:rsidR="008873E6" w:rsidRPr="000A4BDC" w:rsidRDefault="008873E6" w:rsidP="00582590">
      <w:pPr>
        <w:spacing w:line="276" w:lineRule="auto"/>
        <w:jc w:val="both"/>
        <w:rPr>
          <w:rFonts w:cstheme="minorHAnsi"/>
          <w:sz w:val="24"/>
          <w:szCs w:val="24"/>
        </w:rPr>
      </w:pPr>
      <w:r w:rsidRPr="000A4BDC">
        <w:rPr>
          <w:rFonts w:cstheme="minorHAnsi"/>
          <w:sz w:val="24"/>
          <w:szCs w:val="24"/>
        </w:rPr>
        <w:t>Bunnell</w:t>
      </w:r>
      <w:r w:rsidR="00AC48EC">
        <w:rPr>
          <w:rFonts w:cstheme="minorHAnsi"/>
          <w:sz w:val="24"/>
          <w:szCs w:val="24"/>
        </w:rPr>
        <w:t xml:space="preserve"> </w:t>
      </w:r>
      <w:r w:rsidRPr="000A4BDC">
        <w:rPr>
          <w:rFonts w:cstheme="minorHAnsi"/>
          <w:sz w:val="24"/>
          <w:szCs w:val="24"/>
        </w:rPr>
        <w:t xml:space="preserve">argues that it is </w:t>
      </w:r>
      <w:r w:rsidR="00C46C34" w:rsidRPr="000A4BDC">
        <w:rPr>
          <w:rFonts w:cstheme="minorHAnsi"/>
          <w:i/>
          <w:sz w:val="24"/>
          <w:szCs w:val="24"/>
        </w:rPr>
        <w:t>access</w:t>
      </w:r>
      <w:r w:rsidR="00C46C34" w:rsidRPr="000A4BDC">
        <w:rPr>
          <w:rFonts w:cstheme="minorHAnsi"/>
          <w:sz w:val="24"/>
          <w:szCs w:val="24"/>
        </w:rPr>
        <w:t xml:space="preserve"> that confers the IBDP</w:t>
      </w:r>
      <w:r w:rsidR="008A6E13" w:rsidRPr="000A4BDC">
        <w:rPr>
          <w:rFonts w:cstheme="minorHAnsi"/>
          <w:sz w:val="24"/>
          <w:szCs w:val="24"/>
        </w:rPr>
        <w:t xml:space="preserve"> its potential positional good:</w:t>
      </w:r>
    </w:p>
    <w:p w14:paraId="0FFB7F7A" w14:textId="77777777" w:rsidR="008873E6" w:rsidRPr="000A4BDC" w:rsidRDefault="008873E6" w:rsidP="00A725DA">
      <w:pPr>
        <w:spacing w:after="0" w:line="240" w:lineRule="auto"/>
        <w:ind w:left="720" w:right="805"/>
        <w:jc w:val="both"/>
        <w:rPr>
          <w:rFonts w:cstheme="minorHAnsi"/>
          <w:sz w:val="24"/>
          <w:szCs w:val="24"/>
        </w:rPr>
      </w:pPr>
      <w:r w:rsidRPr="000A4BDC">
        <w:rPr>
          <w:rFonts w:cstheme="minorHAnsi"/>
          <w:sz w:val="24"/>
          <w:szCs w:val="24"/>
        </w:rPr>
        <w:t>the IB could emerge as an economic positional good, as a vehicle for expressing superiority and perpetrating economic disadvantage.  This gives it a potential commercial</w:t>
      </w:r>
      <w:r w:rsidR="000B3587" w:rsidRPr="000A4BDC">
        <w:rPr>
          <w:rFonts w:cstheme="minorHAnsi"/>
          <w:sz w:val="24"/>
          <w:szCs w:val="24"/>
        </w:rPr>
        <w:t xml:space="preserve"> value beyond the intrinsic one.</w:t>
      </w:r>
    </w:p>
    <w:p w14:paraId="3E561C06" w14:textId="77777777" w:rsidR="00A725DA" w:rsidRPr="000A4BDC" w:rsidRDefault="008873E6" w:rsidP="00D026CA">
      <w:pPr>
        <w:spacing w:after="0" w:line="240" w:lineRule="auto"/>
        <w:ind w:left="720" w:right="805"/>
        <w:jc w:val="right"/>
        <w:rPr>
          <w:rFonts w:cstheme="minorHAnsi"/>
          <w:sz w:val="24"/>
          <w:szCs w:val="24"/>
        </w:rPr>
      </w:pPr>
      <w:r w:rsidRPr="000A4BDC">
        <w:rPr>
          <w:rFonts w:cstheme="minorHAnsi"/>
          <w:sz w:val="24"/>
          <w:szCs w:val="24"/>
        </w:rPr>
        <w:t xml:space="preserve">Bunnell, 2011: 167. </w:t>
      </w:r>
    </w:p>
    <w:p w14:paraId="087DEE92" w14:textId="77777777" w:rsidR="008931B0" w:rsidRPr="000A4BDC" w:rsidRDefault="008931B0" w:rsidP="008931B0">
      <w:pPr>
        <w:spacing w:after="0" w:line="240" w:lineRule="auto"/>
        <w:ind w:left="720" w:right="805"/>
        <w:jc w:val="both"/>
        <w:rPr>
          <w:rFonts w:cstheme="minorHAnsi"/>
          <w:sz w:val="24"/>
          <w:szCs w:val="24"/>
        </w:rPr>
      </w:pPr>
    </w:p>
    <w:p w14:paraId="62360917" w14:textId="2ED435F9" w:rsidR="008873E6" w:rsidRPr="00D026CA" w:rsidRDefault="00C24D7F" w:rsidP="00582590">
      <w:pPr>
        <w:spacing w:line="276" w:lineRule="auto"/>
        <w:jc w:val="both"/>
        <w:rPr>
          <w:rFonts w:cstheme="minorHAnsi"/>
          <w:sz w:val="24"/>
          <w:szCs w:val="24"/>
          <w:highlight w:val="yellow"/>
        </w:rPr>
      </w:pPr>
      <w:r w:rsidRPr="000A4BDC">
        <w:rPr>
          <w:rFonts w:cstheme="minorHAnsi"/>
          <w:sz w:val="24"/>
          <w:szCs w:val="24"/>
        </w:rPr>
        <w:t>Understood in terms of a positional good,</w:t>
      </w:r>
      <w:r w:rsidR="008873E6" w:rsidRPr="000A4BDC">
        <w:rPr>
          <w:rFonts w:cstheme="minorHAnsi"/>
          <w:sz w:val="24"/>
          <w:szCs w:val="24"/>
        </w:rPr>
        <w:t xml:space="preserve"> intri</w:t>
      </w:r>
      <w:r w:rsidRPr="000A4BDC">
        <w:rPr>
          <w:rFonts w:cstheme="minorHAnsi"/>
          <w:sz w:val="24"/>
          <w:szCs w:val="24"/>
        </w:rPr>
        <w:t xml:space="preserve">nsic costs such as school fees </w:t>
      </w:r>
      <w:r w:rsidR="008873E6" w:rsidRPr="000A4BDC">
        <w:rPr>
          <w:rFonts w:cstheme="minorHAnsi"/>
          <w:sz w:val="24"/>
          <w:szCs w:val="24"/>
        </w:rPr>
        <w:t>become a value signifi</w:t>
      </w:r>
      <w:r w:rsidRPr="000A4BDC">
        <w:rPr>
          <w:rFonts w:cstheme="minorHAnsi"/>
          <w:sz w:val="24"/>
          <w:szCs w:val="24"/>
        </w:rPr>
        <w:t>cantly worth paying for the access that the IB</w:t>
      </w:r>
      <w:r w:rsidR="008873E6" w:rsidRPr="000A4BDC">
        <w:rPr>
          <w:rFonts w:cstheme="minorHAnsi"/>
          <w:sz w:val="24"/>
          <w:szCs w:val="24"/>
        </w:rPr>
        <w:t>DP give</w:t>
      </w:r>
      <w:r w:rsidRPr="000A4BDC">
        <w:rPr>
          <w:rFonts w:cstheme="minorHAnsi"/>
          <w:sz w:val="24"/>
          <w:szCs w:val="24"/>
        </w:rPr>
        <w:t>s to social groups, facilitating</w:t>
      </w:r>
      <w:r w:rsidR="008873E6" w:rsidRPr="000A4BDC">
        <w:rPr>
          <w:rFonts w:cstheme="minorHAnsi"/>
          <w:sz w:val="24"/>
          <w:szCs w:val="24"/>
        </w:rPr>
        <w:t xml:space="preserve"> access</w:t>
      </w:r>
      <w:r w:rsidR="00BD100D" w:rsidRPr="000A4BDC">
        <w:rPr>
          <w:rFonts w:cstheme="minorHAnsi"/>
          <w:sz w:val="24"/>
          <w:szCs w:val="24"/>
        </w:rPr>
        <w:t xml:space="preserve"> (potentially)</w:t>
      </w:r>
      <w:r w:rsidRPr="000A4BDC">
        <w:rPr>
          <w:rFonts w:cstheme="minorHAnsi"/>
          <w:sz w:val="24"/>
          <w:szCs w:val="24"/>
        </w:rPr>
        <w:t xml:space="preserve"> to elite universities</w:t>
      </w:r>
      <w:r w:rsidR="008873E6" w:rsidRPr="000A4BDC">
        <w:rPr>
          <w:rFonts w:cstheme="minorHAnsi"/>
          <w:sz w:val="24"/>
          <w:szCs w:val="24"/>
        </w:rPr>
        <w:t xml:space="preserve">.  </w:t>
      </w:r>
      <w:r w:rsidR="00D91A6A" w:rsidRPr="00090FE0">
        <w:rPr>
          <w:rFonts w:cstheme="minorHAnsi"/>
          <w:sz w:val="24"/>
          <w:szCs w:val="24"/>
        </w:rPr>
        <w:t xml:space="preserve">Although access to these universities is still commonly achieved  through the A-Level route, the narrowing of the curriculum occurs in the English system at </w:t>
      </w:r>
      <w:r w:rsidR="00285186" w:rsidRPr="00090FE0">
        <w:rPr>
          <w:rFonts w:cstheme="minorHAnsi"/>
          <w:sz w:val="24"/>
          <w:szCs w:val="24"/>
        </w:rPr>
        <w:t xml:space="preserve">the age of </w:t>
      </w:r>
      <w:r w:rsidR="00D91A6A" w:rsidRPr="00090FE0">
        <w:rPr>
          <w:rFonts w:cstheme="minorHAnsi"/>
          <w:sz w:val="24"/>
          <w:szCs w:val="24"/>
        </w:rPr>
        <w:t>16</w:t>
      </w:r>
      <w:r w:rsidR="00285186" w:rsidRPr="00090FE0">
        <w:rPr>
          <w:rFonts w:cstheme="minorHAnsi"/>
          <w:sz w:val="24"/>
          <w:szCs w:val="24"/>
        </w:rPr>
        <w:t>,</w:t>
      </w:r>
      <w:r w:rsidR="00D91A6A" w:rsidRPr="00090FE0">
        <w:rPr>
          <w:rFonts w:cstheme="minorHAnsi"/>
          <w:sz w:val="24"/>
          <w:szCs w:val="24"/>
        </w:rPr>
        <w:t xml:space="preserve"> </w:t>
      </w:r>
      <w:r w:rsidR="00285186" w:rsidRPr="00090FE0">
        <w:rPr>
          <w:rFonts w:cstheme="minorHAnsi"/>
          <w:sz w:val="24"/>
          <w:szCs w:val="24"/>
        </w:rPr>
        <w:t>meaning that</w:t>
      </w:r>
      <w:r w:rsidR="00D91A6A" w:rsidRPr="00090FE0">
        <w:rPr>
          <w:rFonts w:cstheme="minorHAnsi"/>
          <w:sz w:val="24"/>
          <w:szCs w:val="24"/>
        </w:rPr>
        <w:t xml:space="preserve"> students who are financially or geographically privileged to be in area where access to the IBDP exists can delay this narrowing of their curriculum choices until the age of 18.</w:t>
      </w:r>
      <w:r w:rsidR="00D33CAD" w:rsidRPr="000A4BDC">
        <w:rPr>
          <w:rFonts w:cstheme="minorHAnsi"/>
          <w:sz w:val="24"/>
          <w:szCs w:val="24"/>
        </w:rPr>
        <w:t xml:space="preserve">  </w:t>
      </w:r>
      <w:r w:rsidR="008873E6" w:rsidRPr="000A4BDC">
        <w:rPr>
          <w:rFonts w:cstheme="minorHAnsi"/>
          <w:sz w:val="24"/>
          <w:szCs w:val="24"/>
        </w:rPr>
        <w:t xml:space="preserve">Research conducted by Doherty et al (2009) in Australia showed </w:t>
      </w:r>
      <w:r w:rsidR="00312ED7" w:rsidRPr="000A4BDC">
        <w:rPr>
          <w:rFonts w:cstheme="minorHAnsi"/>
          <w:sz w:val="24"/>
          <w:szCs w:val="24"/>
        </w:rPr>
        <w:t xml:space="preserve">that </w:t>
      </w:r>
      <w:r w:rsidR="002D6FCE" w:rsidRPr="00090FE0">
        <w:rPr>
          <w:rFonts w:cstheme="minorHAnsi"/>
          <w:sz w:val="24"/>
          <w:szCs w:val="24"/>
        </w:rPr>
        <w:t>International Baccalaureate</w:t>
      </w:r>
      <w:r w:rsidR="00AE6E80" w:rsidRPr="000A4BDC">
        <w:rPr>
          <w:rFonts w:cstheme="minorHAnsi"/>
          <w:sz w:val="24"/>
          <w:szCs w:val="24"/>
        </w:rPr>
        <w:t xml:space="preserve"> students’ choices are determined by access to international HE institutions, thus demonstrating the global significance of an internationally recognised and externally validated examination system.</w:t>
      </w:r>
      <w:r w:rsidR="00597E9F" w:rsidRPr="000A4BDC">
        <w:rPr>
          <w:rFonts w:cstheme="minorHAnsi"/>
          <w:sz w:val="24"/>
          <w:szCs w:val="24"/>
        </w:rPr>
        <w:t xml:space="preserve"> </w:t>
      </w:r>
      <w:r w:rsidR="008873E6" w:rsidRPr="000A4BDC">
        <w:rPr>
          <w:rFonts w:cstheme="minorHAnsi"/>
          <w:sz w:val="24"/>
          <w:szCs w:val="24"/>
        </w:rPr>
        <w:t>Groups of students become mobile either because their parents are transnational for work</w:t>
      </w:r>
      <w:r w:rsidR="003D5956" w:rsidRPr="000A4BDC">
        <w:rPr>
          <w:rFonts w:cstheme="minorHAnsi"/>
          <w:sz w:val="24"/>
          <w:szCs w:val="24"/>
        </w:rPr>
        <w:t xml:space="preserve"> reasons</w:t>
      </w:r>
      <w:r w:rsidR="008873E6" w:rsidRPr="000A4BDC">
        <w:rPr>
          <w:rFonts w:cstheme="minorHAnsi"/>
          <w:sz w:val="24"/>
          <w:szCs w:val="24"/>
        </w:rPr>
        <w:t xml:space="preserve">, or because their parents have deliberately become geographically mobile </w:t>
      </w:r>
      <w:r w:rsidR="00353C6C" w:rsidRPr="000A4BDC">
        <w:rPr>
          <w:rFonts w:cstheme="minorHAnsi"/>
          <w:sz w:val="24"/>
          <w:szCs w:val="24"/>
        </w:rPr>
        <w:t xml:space="preserve">in order to provide </w:t>
      </w:r>
      <w:r w:rsidR="008873E6" w:rsidRPr="000A4BDC">
        <w:rPr>
          <w:rFonts w:cstheme="minorHAnsi"/>
          <w:sz w:val="24"/>
          <w:szCs w:val="24"/>
        </w:rPr>
        <w:t>better opportunities for their children’s education</w:t>
      </w:r>
      <w:r w:rsidR="00353C6C" w:rsidRPr="000A4BDC">
        <w:rPr>
          <w:rFonts w:cstheme="minorHAnsi"/>
          <w:sz w:val="24"/>
          <w:szCs w:val="24"/>
        </w:rPr>
        <w:t>, as detailed by Doherty et al (</w:t>
      </w:r>
      <w:r w:rsidR="008873E6" w:rsidRPr="000A4BDC">
        <w:rPr>
          <w:rFonts w:cstheme="minorHAnsi"/>
          <w:sz w:val="24"/>
          <w:szCs w:val="24"/>
        </w:rPr>
        <w:t>2009</w:t>
      </w:r>
      <w:r w:rsidR="00353C6C" w:rsidRPr="000A4BDC">
        <w:rPr>
          <w:rFonts w:cstheme="minorHAnsi"/>
          <w:sz w:val="24"/>
          <w:szCs w:val="24"/>
        </w:rPr>
        <w:t>)</w:t>
      </w:r>
      <w:r w:rsidR="00597E9F" w:rsidRPr="000A4BDC">
        <w:rPr>
          <w:rFonts w:cstheme="minorHAnsi"/>
          <w:sz w:val="24"/>
          <w:szCs w:val="24"/>
        </w:rPr>
        <w:t xml:space="preserve">.  </w:t>
      </w:r>
      <w:r w:rsidR="008873E6" w:rsidRPr="000A4BDC">
        <w:rPr>
          <w:rFonts w:cstheme="minorHAnsi"/>
          <w:sz w:val="24"/>
          <w:szCs w:val="24"/>
        </w:rPr>
        <w:t>As Archer comments:</w:t>
      </w:r>
    </w:p>
    <w:p w14:paraId="4E079E15" w14:textId="77777777" w:rsidR="008873E6" w:rsidRPr="000A4BDC" w:rsidRDefault="008873E6" w:rsidP="00353C6C">
      <w:pPr>
        <w:spacing w:after="0" w:line="240" w:lineRule="auto"/>
        <w:ind w:left="720" w:right="805"/>
        <w:jc w:val="both"/>
        <w:rPr>
          <w:rFonts w:cstheme="minorHAnsi"/>
          <w:sz w:val="24"/>
          <w:szCs w:val="24"/>
        </w:rPr>
      </w:pPr>
      <w:r w:rsidRPr="000A4BDC">
        <w:rPr>
          <w:rFonts w:cstheme="minorHAnsi"/>
          <w:sz w:val="24"/>
          <w:szCs w:val="24"/>
        </w:rPr>
        <w:t xml:space="preserve">Weak differentiation and specialisation will be experienced as major deficiencies in the services received by a number of social groups.  The uniform and standardised nature of schooling means that many do not get the type of service they require.  Despite differences in aspirations and aptitudes parents and pupils confront a system which provides them with relatively little choice or a forced selection between a prestige mainstream and inferior branching alternatives.  Other groups will suffer because specialisation hardly begins to meet their needs… many groups in different parts of the social structure will find themselves experiencing severe deficiencies and among them may number the elites of certain institutions.’ </w:t>
      </w:r>
    </w:p>
    <w:p w14:paraId="15486698" w14:textId="77777777" w:rsidR="008873E6" w:rsidRPr="000A4BDC" w:rsidRDefault="008873E6" w:rsidP="00D026CA">
      <w:pPr>
        <w:spacing w:after="0" w:line="240" w:lineRule="auto"/>
        <w:ind w:left="720" w:right="805"/>
        <w:jc w:val="right"/>
        <w:rPr>
          <w:rFonts w:cstheme="minorHAnsi"/>
          <w:sz w:val="24"/>
          <w:szCs w:val="24"/>
        </w:rPr>
      </w:pPr>
      <w:r w:rsidRPr="000A4BDC">
        <w:rPr>
          <w:rFonts w:cstheme="minorHAnsi"/>
          <w:sz w:val="24"/>
          <w:szCs w:val="24"/>
        </w:rPr>
        <w:t xml:space="preserve">Archer, 2013: 255. </w:t>
      </w:r>
    </w:p>
    <w:p w14:paraId="15949C54" w14:textId="77777777" w:rsidR="00353C6C" w:rsidRPr="000A4BDC" w:rsidRDefault="00353C6C" w:rsidP="00353C6C">
      <w:pPr>
        <w:spacing w:after="0" w:line="240" w:lineRule="auto"/>
        <w:ind w:left="720" w:right="805"/>
        <w:jc w:val="both"/>
        <w:rPr>
          <w:rFonts w:cstheme="minorHAnsi"/>
          <w:sz w:val="24"/>
          <w:szCs w:val="24"/>
        </w:rPr>
      </w:pPr>
    </w:p>
    <w:p w14:paraId="013E0475" w14:textId="4A65EBB5" w:rsidR="00450731" w:rsidRPr="000A4BDC" w:rsidRDefault="008873E6" w:rsidP="00582590">
      <w:pPr>
        <w:spacing w:line="276" w:lineRule="auto"/>
        <w:jc w:val="both"/>
        <w:rPr>
          <w:rFonts w:cstheme="minorHAnsi"/>
          <w:sz w:val="24"/>
          <w:szCs w:val="24"/>
        </w:rPr>
      </w:pPr>
      <w:r w:rsidRPr="000A4BDC">
        <w:rPr>
          <w:rFonts w:cstheme="minorHAnsi"/>
          <w:sz w:val="24"/>
          <w:szCs w:val="24"/>
        </w:rPr>
        <w:t xml:space="preserve">The ‘deficiencies’ </w:t>
      </w:r>
      <w:r w:rsidR="00EA73FC" w:rsidRPr="000A4BDC">
        <w:rPr>
          <w:rFonts w:cstheme="minorHAnsi"/>
          <w:sz w:val="24"/>
          <w:szCs w:val="24"/>
        </w:rPr>
        <w:t>here to which Archer refers</w:t>
      </w:r>
      <w:r w:rsidR="00F57F8A" w:rsidRPr="000A4BDC">
        <w:rPr>
          <w:rFonts w:cstheme="minorHAnsi"/>
          <w:sz w:val="24"/>
          <w:szCs w:val="24"/>
        </w:rPr>
        <w:t xml:space="preserve"> in relation to</w:t>
      </w:r>
      <w:r w:rsidRPr="000A4BDC">
        <w:rPr>
          <w:rFonts w:cstheme="minorHAnsi"/>
          <w:sz w:val="24"/>
          <w:szCs w:val="24"/>
        </w:rPr>
        <w:t xml:space="preserve"> elite groups accessing education are based on the industrial model</w:t>
      </w:r>
      <w:r w:rsidR="00EA73FC" w:rsidRPr="000A4BDC">
        <w:rPr>
          <w:rFonts w:cstheme="minorHAnsi"/>
          <w:sz w:val="24"/>
          <w:szCs w:val="24"/>
        </w:rPr>
        <w:t xml:space="preserve"> of schooling (Marshak, 2003), meaning </w:t>
      </w:r>
      <w:r w:rsidRPr="000A4BDC">
        <w:rPr>
          <w:rFonts w:cstheme="minorHAnsi"/>
          <w:sz w:val="24"/>
          <w:szCs w:val="24"/>
        </w:rPr>
        <w:t xml:space="preserve">schooling </w:t>
      </w:r>
      <w:r w:rsidR="00EA73FC" w:rsidRPr="000A4BDC">
        <w:rPr>
          <w:rFonts w:cstheme="minorHAnsi"/>
          <w:sz w:val="24"/>
          <w:szCs w:val="24"/>
        </w:rPr>
        <w:t xml:space="preserve">on a mass </w:t>
      </w:r>
      <w:r w:rsidR="00EA73FC" w:rsidRPr="000A4BDC">
        <w:rPr>
          <w:rFonts w:cstheme="minorHAnsi"/>
          <w:sz w:val="24"/>
          <w:szCs w:val="24"/>
        </w:rPr>
        <w:lastRenderedPageBreak/>
        <w:t>scale which</w:t>
      </w:r>
      <w:r w:rsidRPr="000A4BDC">
        <w:rPr>
          <w:rFonts w:cstheme="minorHAnsi"/>
          <w:sz w:val="24"/>
          <w:szCs w:val="24"/>
        </w:rPr>
        <w:t xml:space="preserve"> does not suit their viewpoint</w:t>
      </w:r>
      <w:r w:rsidR="00EA73FC" w:rsidRPr="000A4BDC">
        <w:rPr>
          <w:rFonts w:cstheme="minorHAnsi"/>
          <w:sz w:val="24"/>
          <w:szCs w:val="24"/>
        </w:rPr>
        <w:t xml:space="preserve"> and aspirations</w:t>
      </w:r>
      <w:r w:rsidRPr="000A4BDC">
        <w:rPr>
          <w:rFonts w:cstheme="minorHAnsi"/>
          <w:sz w:val="24"/>
          <w:szCs w:val="24"/>
        </w:rPr>
        <w:t xml:space="preserve">. </w:t>
      </w:r>
      <w:r w:rsidR="00F57F8A" w:rsidRPr="000A4BDC">
        <w:rPr>
          <w:rFonts w:cstheme="minorHAnsi"/>
          <w:sz w:val="24"/>
          <w:szCs w:val="24"/>
        </w:rPr>
        <w:t>In a sense, rather than an explicit preoccupation with grades and access</w:t>
      </w:r>
      <w:r w:rsidR="00763370" w:rsidRPr="000A4BDC">
        <w:rPr>
          <w:rFonts w:cstheme="minorHAnsi"/>
          <w:sz w:val="24"/>
          <w:szCs w:val="24"/>
        </w:rPr>
        <w:t xml:space="preserve"> to</w:t>
      </w:r>
      <w:r w:rsidR="00F57F8A" w:rsidRPr="000A4BDC">
        <w:rPr>
          <w:rFonts w:cstheme="minorHAnsi"/>
          <w:sz w:val="24"/>
          <w:szCs w:val="24"/>
        </w:rPr>
        <w:t xml:space="preserve"> </w:t>
      </w:r>
      <w:r w:rsidR="00F57F8A" w:rsidRPr="00090FE0">
        <w:rPr>
          <w:rFonts w:cstheme="minorHAnsi"/>
          <w:sz w:val="24"/>
          <w:szCs w:val="24"/>
        </w:rPr>
        <w:t>H</w:t>
      </w:r>
      <w:r w:rsidR="008A434F" w:rsidRPr="00090FE0">
        <w:rPr>
          <w:rFonts w:cstheme="minorHAnsi"/>
          <w:sz w:val="24"/>
          <w:szCs w:val="24"/>
        </w:rPr>
        <w:t>igher Education</w:t>
      </w:r>
      <w:r w:rsidR="00F57F8A" w:rsidRPr="000A4BDC">
        <w:rPr>
          <w:rFonts w:cstheme="minorHAnsi"/>
          <w:sz w:val="24"/>
          <w:szCs w:val="24"/>
        </w:rPr>
        <w:t xml:space="preserve"> environments, this attitude can be </w:t>
      </w:r>
      <w:r w:rsidRPr="000A4BDC">
        <w:rPr>
          <w:rFonts w:cstheme="minorHAnsi"/>
          <w:sz w:val="24"/>
          <w:szCs w:val="24"/>
        </w:rPr>
        <w:t>described almost a</w:t>
      </w:r>
      <w:r w:rsidR="00F57F8A" w:rsidRPr="000A4BDC">
        <w:rPr>
          <w:rFonts w:cstheme="minorHAnsi"/>
          <w:sz w:val="24"/>
          <w:szCs w:val="24"/>
        </w:rPr>
        <w:t>s</w:t>
      </w:r>
      <w:r w:rsidRPr="000A4BDC">
        <w:rPr>
          <w:rFonts w:cstheme="minorHAnsi"/>
          <w:sz w:val="24"/>
          <w:szCs w:val="24"/>
        </w:rPr>
        <w:t xml:space="preserve"> ‘prereflexive’</w:t>
      </w:r>
      <w:r w:rsidR="00F57F8A" w:rsidRPr="000A4BDC">
        <w:rPr>
          <w:rFonts w:cstheme="minorHAnsi"/>
          <w:sz w:val="24"/>
          <w:szCs w:val="24"/>
        </w:rPr>
        <w:t xml:space="preserve"> </w:t>
      </w:r>
      <w:r w:rsidR="00353C6C" w:rsidRPr="000A4BDC">
        <w:rPr>
          <w:rFonts w:cstheme="minorHAnsi"/>
          <w:sz w:val="24"/>
          <w:szCs w:val="24"/>
        </w:rPr>
        <w:t>(Bourdieu, 1</w:t>
      </w:r>
      <w:r w:rsidR="008A6E13" w:rsidRPr="000A4BDC">
        <w:rPr>
          <w:rFonts w:cstheme="minorHAnsi"/>
          <w:sz w:val="24"/>
          <w:szCs w:val="24"/>
        </w:rPr>
        <w:t>992</w:t>
      </w:r>
      <w:r w:rsidR="00F57F8A" w:rsidRPr="000A4BDC">
        <w:rPr>
          <w:rFonts w:cstheme="minorHAnsi"/>
          <w:sz w:val="24"/>
          <w:szCs w:val="24"/>
        </w:rPr>
        <w:t xml:space="preserve">). </w:t>
      </w:r>
      <w:r w:rsidR="00AC48EC" w:rsidRPr="00D026CA">
        <w:rPr>
          <w:rFonts w:cstheme="minorHAnsi"/>
          <w:color w:val="000000"/>
          <w:sz w:val="24"/>
          <w:szCs w:val="24"/>
        </w:rPr>
        <w:t>Small public schools suit elite groups as they create students through the networks they develop and the confidence that they exude</w:t>
      </w:r>
      <w:r w:rsidR="00AC48EC">
        <w:rPr>
          <w:rFonts w:cstheme="minorHAnsi"/>
          <w:sz w:val="24"/>
          <w:szCs w:val="24"/>
        </w:rPr>
        <w:t xml:space="preserve">, </w:t>
      </w:r>
      <w:r w:rsidR="004C29D3" w:rsidRPr="000A4BDC">
        <w:rPr>
          <w:rFonts w:cstheme="minorHAnsi"/>
          <w:sz w:val="24"/>
          <w:szCs w:val="24"/>
        </w:rPr>
        <w:t>or ‘e</w:t>
      </w:r>
      <w:r w:rsidRPr="000A4BDC">
        <w:rPr>
          <w:rFonts w:cstheme="minorHAnsi"/>
          <w:sz w:val="24"/>
          <w:szCs w:val="24"/>
        </w:rPr>
        <w:t xml:space="preserve">ase’ as Kahn (2011) described it. </w:t>
      </w:r>
    </w:p>
    <w:p w14:paraId="4D93B99C" w14:textId="500F193E" w:rsidR="00680B4B" w:rsidRDefault="00450731" w:rsidP="00582590">
      <w:pPr>
        <w:spacing w:line="276" w:lineRule="auto"/>
        <w:jc w:val="both"/>
        <w:rPr>
          <w:rFonts w:cstheme="minorHAnsi"/>
          <w:sz w:val="24"/>
          <w:szCs w:val="24"/>
        </w:rPr>
      </w:pPr>
      <w:r w:rsidRPr="00090FE0">
        <w:rPr>
          <w:rFonts w:cstheme="minorHAnsi"/>
          <w:sz w:val="24"/>
          <w:szCs w:val="24"/>
        </w:rPr>
        <w:t>This</w:t>
      </w:r>
      <w:r w:rsidR="008873E6" w:rsidRPr="00090FE0">
        <w:rPr>
          <w:rFonts w:cstheme="minorHAnsi"/>
          <w:sz w:val="24"/>
          <w:szCs w:val="24"/>
        </w:rPr>
        <w:t xml:space="preserve"> intra-class interface, or intersection, between the upper middle and the middle middle classes </w:t>
      </w:r>
      <w:r w:rsidRPr="00090FE0">
        <w:rPr>
          <w:rFonts w:cstheme="minorHAnsi"/>
          <w:sz w:val="24"/>
          <w:szCs w:val="24"/>
        </w:rPr>
        <w:t xml:space="preserve">is reflected </w:t>
      </w:r>
      <w:r w:rsidR="00D91A6A" w:rsidRPr="00090FE0">
        <w:rPr>
          <w:rFonts w:cstheme="minorHAnsi"/>
          <w:sz w:val="24"/>
          <w:szCs w:val="24"/>
        </w:rPr>
        <w:t>inside this research process that was undertaken with Senior Leadership Teams in schools and colleges</w:t>
      </w:r>
      <w:r w:rsidRPr="00090FE0">
        <w:rPr>
          <w:rFonts w:cstheme="minorHAnsi"/>
          <w:sz w:val="24"/>
          <w:szCs w:val="24"/>
        </w:rPr>
        <w:t xml:space="preserve">, which </w:t>
      </w:r>
      <w:r w:rsidR="008873E6" w:rsidRPr="00090FE0">
        <w:rPr>
          <w:rFonts w:cstheme="minorHAnsi"/>
          <w:sz w:val="24"/>
          <w:szCs w:val="24"/>
        </w:rPr>
        <w:t>has shown that it is the fee-paying cen</w:t>
      </w:r>
      <w:r w:rsidRPr="00090FE0">
        <w:rPr>
          <w:rFonts w:cstheme="minorHAnsi"/>
          <w:sz w:val="24"/>
          <w:szCs w:val="24"/>
        </w:rPr>
        <w:t>tres that can maintain the IB</w:t>
      </w:r>
      <w:r w:rsidR="008873E6" w:rsidRPr="00090FE0">
        <w:rPr>
          <w:rFonts w:cstheme="minorHAnsi"/>
          <w:sz w:val="24"/>
          <w:szCs w:val="24"/>
        </w:rPr>
        <w:t>DP whereas the bulk of state maintained centres have subsequently withdrawn from it.  The ‘choice’ over schooling that is left to all parents</w:t>
      </w:r>
      <w:r w:rsidR="00D91A6A" w:rsidRPr="00090FE0">
        <w:rPr>
          <w:rFonts w:cstheme="minorHAnsi"/>
          <w:sz w:val="24"/>
          <w:szCs w:val="24"/>
        </w:rPr>
        <w:t>, and students</w:t>
      </w:r>
      <w:r w:rsidR="00E633D6" w:rsidRPr="00090FE0">
        <w:rPr>
          <w:rFonts w:cstheme="minorHAnsi"/>
          <w:sz w:val="24"/>
          <w:szCs w:val="24"/>
        </w:rPr>
        <w:t>,</w:t>
      </w:r>
      <w:r w:rsidR="008873E6" w:rsidRPr="00090FE0">
        <w:rPr>
          <w:rFonts w:cstheme="minorHAnsi"/>
          <w:sz w:val="24"/>
          <w:szCs w:val="24"/>
        </w:rPr>
        <w:t xml:space="preserve"> if one type of curriculum only exists in the independent sector is therefore one of fee-paying</w:t>
      </w:r>
      <w:r w:rsidR="00451FCB" w:rsidRPr="00090FE0">
        <w:rPr>
          <w:rFonts w:cstheme="minorHAnsi"/>
          <w:sz w:val="24"/>
          <w:szCs w:val="24"/>
        </w:rPr>
        <w:t>, or the costs of re-locating to the few residue areas where the IBDP is available in the state sector</w:t>
      </w:r>
      <w:r w:rsidR="008873E6" w:rsidRPr="00090FE0">
        <w:rPr>
          <w:rFonts w:cstheme="minorHAnsi"/>
          <w:sz w:val="24"/>
          <w:szCs w:val="24"/>
        </w:rPr>
        <w:t xml:space="preserve">.  Even then, it has to be remembered that this still needs to be both a financial possibility and a moral inclination.  Paul Luxmoore, executive head of Dane Court Grammar in Kent </w:t>
      </w:r>
      <w:r w:rsidR="00D91A6A" w:rsidRPr="00090FE0">
        <w:rPr>
          <w:rFonts w:cstheme="minorHAnsi"/>
          <w:sz w:val="24"/>
          <w:szCs w:val="24"/>
        </w:rPr>
        <w:t xml:space="preserve">argued </w:t>
      </w:r>
      <w:r w:rsidR="00451FCB" w:rsidRPr="00090FE0">
        <w:rPr>
          <w:rFonts w:cstheme="minorHAnsi"/>
          <w:sz w:val="24"/>
          <w:szCs w:val="24"/>
        </w:rPr>
        <w:t xml:space="preserve">back in 2011 </w:t>
      </w:r>
      <w:r w:rsidR="008873E6" w:rsidRPr="00090FE0">
        <w:rPr>
          <w:rFonts w:cstheme="minorHAnsi"/>
          <w:sz w:val="24"/>
          <w:szCs w:val="24"/>
        </w:rPr>
        <w:t xml:space="preserve"> that ‘no state s</w:t>
      </w:r>
      <w:r w:rsidR="00597E9F" w:rsidRPr="00090FE0">
        <w:rPr>
          <w:rFonts w:cstheme="minorHAnsi"/>
          <w:sz w:val="24"/>
          <w:szCs w:val="24"/>
        </w:rPr>
        <w:t>chools will be doing the IBDP</w:t>
      </w:r>
      <w:r w:rsidR="008873E6" w:rsidRPr="00090FE0">
        <w:rPr>
          <w:rFonts w:cstheme="minorHAnsi"/>
          <w:sz w:val="24"/>
          <w:szCs w:val="24"/>
        </w:rPr>
        <w:t xml:space="preserve"> and the only way to access it will be if your parents have got enough money to send you to an independent school’ (Stewart,</w:t>
      </w:r>
      <w:r w:rsidR="00597E9F" w:rsidRPr="00090FE0">
        <w:rPr>
          <w:rFonts w:cstheme="minorHAnsi"/>
          <w:sz w:val="24"/>
          <w:szCs w:val="24"/>
        </w:rPr>
        <w:t xml:space="preserve"> Times Educational Supplement,</w:t>
      </w:r>
      <w:r w:rsidR="008873E6" w:rsidRPr="00090FE0">
        <w:rPr>
          <w:rFonts w:cstheme="minorHAnsi"/>
          <w:sz w:val="24"/>
          <w:szCs w:val="24"/>
        </w:rPr>
        <w:t xml:space="preserve"> 2011</w:t>
      </w:r>
      <w:r w:rsidR="00D91A6A" w:rsidRPr="00090FE0">
        <w:rPr>
          <w:rFonts w:cstheme="minorHAnsi"/>
          <w:sz w:val="24"/>
          <w:szCs w:val="24"/>
        </w:rPr>
        <w:t>). This research process has revealed that whilst this is not factually accurate, and the IBDP is available inside the state sector, it is not now commonly available inside the state sector outside London and the South-East of England.  There are now only very few notable exceptions, such as Broadgreen International School in Liverpool, and Impington Village College in Cambridge</w:t>
      </w:r>
      <w:r w:rsidR="004C5633" w:rsidRPr="00090FE0">
        <w:rPr>
          <w:rFonts w:cstheme="minorHAnsi"/>
          <w:sz w:val="24"/>
          <w:szCs w:val="24"/>
        </w:rPr>
        <w:t>shire</w:t>
      </w:r>
      <w:r w:rsidR="00D91A6A" w:rsidRPr="00090FE0">
        <w:rPr>
          <w:rFonts w:cstheme="minorHAnsi"/>
          <w:sz w:val="24"/>
          <w:szCs w:val="24"/>
        </w:rPr>
        <w:t xml:space="preserve"> where the IBDP still exists, and these also are the centres wh</w:t>
      </w:r>
      <w:r w:rsidR="003730CA" w:rsidRPr="00090FE0">
        <w:rPr>
          <w:rFonts w:cstheme="minorHAnsi"/>
          <w:sz w:val="24"/>
          <w:szCs w:val="24"/>
        </w:rPr>
        <w:t>ich</w:t>
      </w:r>
      <w:r w:rsidR="00D91A6A" w:rsidRPr="00090FE0">
        <w:rPr>
          <w:rFonts w:cstheme="minorHAnsi"/>
          <w:sz w:val="24"/>
          <w:szCs w:val="24"/>
        </w:rPr>
        <w:t xml:space="preserve"> established </w:t>
      </w:r>
      <w:r w:rsidR="003730CA" w:rsidRPr="00090FE0">
        <w:rPr>
          <w:rFonts w:cstheme="minorHAnsi"/>
          <w:sz w:val="24"/>
          <w:szCs w:val="24"/>
        </w:rPr>
        <w:t>the programme</w:t>
      </w:r>
      <w:r w:rsidR="00D91A6A" w:rsidRPr="00090FE0">
        <w:rPr>
          <w:rFonts w:cstheme="minorHAnsi"/>
          <w:sz w:val="24"/>
          <w:szCs w:val="24"/>
        </w:rPr>
        <w:t xml:space="preserve"> long before the rush of state schools </w:t>
      </w:r>
      <w:r w:rsidR="004C5633" w:rsidRPr="00090FE0">
        <w:rPr>
          <w:rFonts w:cstheme="minorHAnsi"/>
          <w:sz w:val="24"/>
          <w:szCs w:val="24"/>
        </w:rPr>
        <w:t xml:space="preserve">in the 2000s.  These </w:t>
      </w:r>
      <w:r w:rsidR="003730CA" w:rsidRPr="00090FE0">
        <w:rPr>
          <w:rFonts w:cstheme="minorHAnsi"/>
          <w:sz w:val="24"/>
          <w:szCs w:val="24"/>
        </w:rPr>
        <w:t xml:space="preserve">successful IBDP schools have been delivering the programme for decades, and they have established </w:t>
      </w:r>
      <w:r w:rsidR="004C5633" w:rsidRPr="00090FE0">
        <w:rPr>
          <w:rFonts w:cstheme="minorHAnsi"/>
          <w:sz w:val="24"/>
          <w:szCs w:val="24"/>
        </w:rPr>
        <w:t>broad curricular goals that encourage volunteering; sport; music; drama and understanding of phi</w:t>
      </w:r>
      <w:r w:rsidR="003730CA" w:rsidRPr="00090FE0">
        <w:rPr>
          <w:rFonts w:cstheme="minorHAnsi"/>
          <w:sz w:val="24"/>
          <w:szCs w:val="24"/>
        </w:rPr>
        <w:t>l</w:t>
      </w:r>
      <w:r w:rsidR="004C5633" w:rsidRPr="00090FE0">
        <w:rPr>
          <w:rFonts w:cstheme="minorHAnsi"/>
          <w:sz w:val="24"/>
          <w:szCs w:val="24"/>
        </w:rPr>
        <w:t xml:space="preserve">osophy. </w:t>
      </w:r>
      <w:r w:rsidR="003730CA" w:rsidRPr="00090FE0">
        <w:rPr>
          <w:rFonts w:cstheme="minorHAnsi"/>
          <w:sz w:val="24"/>
          <w:szCs w:val="24"/>
        </w:rPr>
        <w:t>This experience stands in contrast to</w:t>
      </w:r>
      <w:r w:rsidR="004C5633" w:rsidRPr="00090FE0">
        <w:rPr>
          <w:rFonts w:cstheme="minorHAnsi"/>
          <w:sz w:val="24"/>
          <w:szCs w:val="24"/>
        </w:rPr>
        <w:t xml:space="preserve"> </w:t>
      </w:r>
      <w:r w:rsidR="003730CA" w:rsidRPr="00090FE0">
        <w:rPr>
          <w:rFonts w:cstheme="minorHAnsi"/>
          <w:sz w:val="24"/>
          <w:szCs w:val="24"/>
        </w:rPr>
        <w:t>those</w:t>
      </w:r>
      <w:r w:rsidR="004C5633" w:rsidRPr="00090FE0">
        <w:rPr>
          <w:rFonts w:cstheme="minorHAnsi"/>
          <w:sz w:val="24"/>
          <w:szCs w:val="24"/>
        </w:rPr>
        <w:t xml:space="preserve"> schools which came to deliver the IBDP during the 2000s</w:t>
      </w:r>
      <w:r w:rsidR="003730CA" w:rsidRPr="00090FE0">
        <w:rPr>
          <w:rFonts w:cstheme="minorHAnsi"/>
          <w:sz w:val="24"/>
          <w:szCs w:val="24"/>
        </w:rPr>
        <w:t xml:space="preserve"> as a </w:t>
      </w:r>
      <w:r w:rsidR="00944630" w:rsidRPr="00090FE0">
        <w:rPr>
          <w:rFonts w:cstheme="minorHAnsi"/>
          <w:sz w:val="24"/>
          <w:szCs w:val="24"/>
        </w:rPr>
        <w:t>result</w:t>
      </w:r>
      <w:r w:rsidR="003730CA" w:rsidRPr="00090FE0">
        <w:rPr>
          <w:rFonts w:cstheme="minorHAnsi"/>
          <w:sz w:val="24"/>
          <w:szCs w:val="24"/>
        </w:rPr>
        <w:t xml:space="preserve"> of</w:t>
      </w:r>
      <w:r w:rsidR="004C5633" w:rsidRPr="00090FE0">
        <w:rPr>
          <w:rFonts w:cstheme="minorHAnsi"/>
          <w:sz w:val="24"/>
          <w:szCs w:val="24"/>
        </w:rPr>
        <w:t xml:space="preserve"> Government funding, </w:t>
      </w:r>
      <w:r w:rsidR="003730CA" w:rsidRPr="00090FE0">
        <w:rPr>
          <w:rFonts w:cstheme="minorHAnsi"/>
          <w:sz w:val="24"/>
          <w:szCs w:val="24"/>
        </w:rPr>
        <w:t>which was subsequently withdrawn.</w:t>
      </w:r>
      <w:r w:rsidR="00680B4B" w:rsidRPr="00090FE0">
        <w:rPr>
          <w:rFonts w:cstheme="minorHAnsi"/>
          <w:sz w:val="24"/>
          <w:szCs w:val="24"/>
        </w:rPr>
        <w:t xml:space="preserve"> Thus, </w:t>
      </w:r>
      <w:r w:rsidR="00680B4B" w:rsidRPr="00090FE0">
        <w:rPr>
          <w:rFonts w:cstheme="minorHAnsi"/>
          <w:color w:val="000000"/>
          <w:sz w:val="24"/>
          <w:szCs w:val="24"/>
        </w:rPr>
        <w:t>t</w:t>
      </w:r>
      <w:r w:rsidR="00AC48EC" w:rsidRPr="00090FE0">
        <w:rPr>
          <w:rFonts w:cstheme="minorHAnsi"/>
          <w:color w:val="000000"/>
          <w:sz w:val="24"/>
          <w:szCs w:val="24"/>
        </w:rPr>
        <w:t>hese long-term IBDP state schools (as the Impington Village College 2017 website states) are potentially unique</w:t>
      </w:r>
      <w:r w:rsidR="00AC48EC" w:rsidRPr="00090FE0">
        <w:rPr>
          <w:rFonts w:cstheme="minorHAnsi"/>
          <w:sz w:val="24"/>
          <w:szCs w:val="24"/>
        </w:rPr>
        <w:t xml:space="preserve"> </w:t>
      </w:r>
      <w:r w:rsidR="009D0A57" w:rsidRPr="00090FE0">
        <w:rPr>
          <w:rFonts w:cstheme="minorHAnsi"/>
          <w:sz w:val="24"/>
          <w:szCs w:val="24"/>
        </w:rPr>
        <w:t>as state schools, offer</w:t>
      </w:r>
      <w:r w:rsidR="00680B4B" w:rsidRPr="00090FE0">
        <w:rPr>
          <w:rFonts w:cstheme="minorHAnsi"/>
          <w:sz w:val="24"/>
          <w:szCs w:val="24"/>
        </w:rPr>
        <w:t>ing</w:t>
      </w:r>
      <w:r w:rsidR="009D0A57" w:rsidRPr="00090FE0">
        <w:rPr>
          <w:rFonts w:cstheme="minorHAnsi"/>
          <w:sz w:val="24"/>
          <w:szCs w:val="24"/>
        </w:rPr>
        <w:t xml:space="preserve"> parents a genuine choice in not accessing the independent sector for a wider choice of curriculum</w:t>
      </w:r>
      <w:r w:rsidR="009D0A57" w:rsidRPr="00D026CA">
        <w:rPr>
          <w:rFonts w:cstheme="minorHAnsi"/>
          <w:sz w:val="24"/>
          <w:szCs w:val="24"/>
        </w:rPr>
        <w:t xml:space="preserve">. </w:t>
      </w:r>
    </w:p>
    <w:p w14:paraId="6973FC28" w14:textId="77777777" w:rsidR="008873E6" w:rsidRPr="000A4BDC" w:rsidRDefault="008873E6" w:rsidP="00582590">
      <w:pPr>
        <w:spacing w:line="276" w:lineRule="auto"/>
        <w:jc w:val="both"/>
        <w:rPr>
          <w:rFonts w:cstheme="minorHAnsi"/>
          <w:sz w:val="24"/>
          <w:szCs w:val="24"/>
        </w:rPr>
      </w:pPr>
      <w:r w:rsidRPr="000A4BDC">
        <w:rPr>
          <w:rFonts w:cstheme="minorHAnsi"/>
          <w:sz w:val="24"/>
          <w:szCs w:val="24"/>
        </w:rPr>
        <w:t>Exley and Sussia (2013</w:t>
      </w:r>
      <w:r w:rsidR="00597E9F" w:rsidRPr="000A4BDC">
        <w:rPr>
          <w:rFonts w:cstheme="minorHAnsi"/>
          <w:sz w:val="24"/>
          <w:szCs w:val="24"/>
        </w:rPr>
        <w:t>:349</w:t>
      </w:r>
      <w:r w:rsidRPr="000A4BDC">
        <w:rPr>
          <w:rFonts w:cstheme="minorHAnsi"/>
          <w:sz w:val="24"/>
          <w:szCs w:val="24"/>
        </w:rPr>
        <w:t>) have discussed this concept in the context of parents making the deci</w:t>
      </w:r>
      <w:r w:rsidR="00597E9F" w:rsidRPr="000A4BDC">
        <w:rPr>
          <w:rFonts w:cstheme="minorHAnsi"/>
          <w:sz w:val="24"/>
          <w:szCs w:val="24"/>
        </w:rPr>
        <w:t>sion to ‘go private’</w:t>
      </w:r>
      <w:r w:rsidRPr="000A4BDC">
        <w:rPr>
          <w:rFonts w:cstheme="minorHAnsi"/>
          <w:sz w:val="24"/>
          <w:szCs w:val="24"/>
        </w:rPr>
        <w:t>, but also contributing to what Cribb and Ball (2005) determine as an ‘ethical audit’ of the wider trends toward</w:t>
      </w:r>
      <w:r w:rsidR="00DC4FA8" w:rsidRPr="000A4BDC">
        <w:rPr>
          <w:rFonts w:cstheme="minorHAnsi"/>
          <w:sz w:val="24"/>
          <w:szCs w:val="24"/>
        </w:rPr>
        <w:t xml:space="preserve">s privatisation in education. </w:t>
      </w:r>
      <w:r w:rsidRPr="000A4BDC">
        <w:rPr>
          <w:rFonts w:cstheme="minorHAnsi"/>
          <w:sz w:val="24"/>
          <w:szCs w:val="24"/>
        </w:rPr>
        <w:t>In examining the choic</w:t>
      </w:r>
      <w:r w:rsidR="00450731" w:rsidRPr="000A4BDC">
        <w:rPr>
          <w:rFonts w:cstheme="minorHAnsi"/>
          <w:sz w:val="24"/>
          <w:szCs w:val="24"/>
        </w:rPr>
        <w:t xml:space="preserve">es made in education, Hatcher </w:t>
      </w:r>
      <w:r w:rsidRPr="000A4BDC">
        <w:rPr>
          <w:rFonts w:cstheme="minorHAnsi"/>
          <w:sz w:val="24"/>
          <w:szCs w:val="24"/>
        </w:rPr>
        <w:t>notes that:</w:t>
      </w:r>
    </w:p>
    <w:p w14:paraId="219D7F7F" w14:textId="77777777" w:rsidR="008873E6" w:rsidRPr="000A4BDC" w:rsidRDefault="008873E6" w:rsidP="00DC4FA8">
      <w:pPr>
        <w:spacing w:after="0" w:line="240" w:lineRule="auto"/>
        <w:ind w:left="720" w:right="804"/>
        <w:jc w:val="both"/>
        <w:rPr>
          <w:rFonts w:cstheme="minorHAnsi"/>
          <w:i/>
          <w:sz w:val="24"/>
          <w:szCs w:val="24"/>
        </w:rPr>
      </w:pPr>
      <w:r w:rsidRPr="000A4BDC">
        <w:rPr>
          <w:rFonts w:cstheme="minorHAnsi"/>
          <w:sz w:val="24"/>
          <w:szCs w:val="24"/>
        </w:rPr>
        <w:t xml:space="preserve">The primary effects of class are the differences in academic ability generated by family backgrounds.  The secondary effects concern the rational choices made by young people and their parents at transition points in their careers... What needs to be stressed is that class differentiation in transition decisions does not simply </w:t>
      </w:r>
      <w:r w:rsidRPr="000A4BDC">
        <w:rPr>
          <w:rFonts w:cstheme="minorHAnsi"/>
          <w:i/>
          <w:sz w:val="24"/>
          <w:szCs w:val="24"/>
        </w:rPr>
        <w:t>reflect</w:t>
      </w:r>
      <w:r w:rsidRPr="000A4BDC">
        <w:rPr>
          <w:rFonts w:cstheme="minorHAnsi"/>
          <w:sz w:val="24"/>
          <w:szCs w:val="24"/>
        </w:rPr>
        <w:t xml:space="preserve"> class differences in attainment... Choices concerning transition to higher levels of education differ according to class position, </w:t>
      </w:r>
      <w:r w:rsidRPr="000A4BDC">
        <w:rPr>
          <w:rFonts w:cstheme="minorHAnsi"/>
          <w:i/>
          <w:sz w:val="24"/>
          <w:szCs w:val="24"/>
        </w:rPr>
        <w:t xml:space="preserve">even when there is no difference in level of achievement. </w:t>
      </w:r>
    </w:p>
    <w:p w14:paraId="3230F35E" w14:textId="77777777" w:rsidR="008873E6" w:rsidRPr="000A4BDC" w:rsidRDefault="008873E6" w:rsidP="00D026CA">
      <w:pPr>
        <w:spacing w:after="0" w:line="240" w:lineRule="auto"/>
        <w:ind w:left="720" w:right="804"/>
        <w:jc w:val="right"/>
        <w:rPr>
          <w:rFonts w:cstheme="minorHAnsi"/>
          <w:sz w:val="24"/>
          <w:szCs w:val="24"/>
        </w:rPr>
      </w:pPr>
      <w:r w:rsidRPr="000A4BDC">
        <w:rPr>
          <w:rFonts w:cstheme="minorHAnsi"/>
          <w:sz w:val="24"/>
          <w:szCs w:val="24"/>
        </w:rPr>
        <w:t>Hatcher (1998:7) Italics in original.</w:t>
      </w:r>
    </w:p>
    <w:p w14:paraId="1AF53AE3" w14:textId="77777777" w:rsidR="00DC4FA8" w:rsidRPr="000A4BDC" w:rsidRDefault="00DC4FA8" w:rsidP="00DC4FA8">
      <w:pPr>
        <w:spacing w:after="0" w:line="240" w:lineRule="auto"/>
        <w:ind w:left="720" w:right="804"/>
        <w:jc w:val="both"/>
        <w:rPr>
          <w:rFonts w:cstheme="minorHAnsi"/>
          <w:i/>
          <w:sz w:val="24"/>
          <w:szCs w:val="24"/>
        </w:rPr>
      </w:pPr>
    </w:p>
    <w:p w14:paraId="4CE0D2DB" w14:textId="31C0106B" w:rsidR="008873E6" w:rsidRPr="000A4BDC" w:rsidRDefault="00450731" w:rsidP="00582590">
      <w:pPr>
        <w:spacing w:line="276" w:lineRule="auto"/>
        <w:jc w:val="both"/>
        <w:rPr>
          <w:rFonts w:cstheme="minorHAnsi"/>
          <w:sz w:val="24"/>
          <w:szCs w:val="24"/>
        </w:rPr>
      </w:pPr>
      <w:r w:rsidRPr="000A4BDC">
        <w:rPr>
          <w:rFonts w:cstheme="minorHAnsi"/>
          <w:sz w:val="24"/>
          <w:szCs w:val="24"/>
        </w:rPr>
        <w:lastRenderedPageBreak/>
        <w:t>This recalls</w:t>
      </w:r>
      <w:r w:rsidR="008873E6" w:rsidRPr="000A4BDC">
        <w:rPr>
          <w:rFonts w:cstheme="minorHAnsi"/>
          <w:sz w:val="24"/>
          <w:szCs w:val="24"/>
        </w:rPr>
        <w:t xml:space="preserve"> the work of Savage</w:t>
      </w:r>
      <w:r w:rsidR="001E0F49" w:rsidRPr="000A4BDC">
        <w:rPr>
          <w:rFonts w:cstheme="minorHAnsi"/>
          <w:sz w:val="24"/>
          <w:szCs w:val="24"/>
        </w:rPr>
        <w:t xml:space="preserve"> </w:t>
      </w:r>
      <w:r w:rsidR="00F61732">
        <w:rPr>
          <w:rFonts w:cstheme="minorHAnsi"/>
          <w:sz w:val="24"/>
          <w:szCs w:val="24"/>
        </w:rPr>
        <w:t>et al</w:t>
      </w:r>
      <w:r w:rsidR="001E0F49" w:rsidRPr="000A4BDC">
        <w:rPr>
          <w:rFonts w:cstheme="minorHAnsi"/>
          <w:sz w:val="24"/>
          <w:szCs w:val="24"/>
        </w:rPr>
        <w:t xml:space="preserve"> (2015:5)</w:t>
      </w:r>
      <w:r w:rsidR="008873E6" w:rsidRPr="000A4BDC">
        <w:rPr>
          <w:rFonts w:cstheme="minorHAnsi"/>
          <w:sz w:val="24"/>
          <w:szCs w:val="24"/>
        </w:rPr>
        <w:t xml:space="preserve">, on the different class-based choices that are made, for example around the ‘growing power of elite universities’, even when there is no difference in the level of attainment between groups.  </w:t>
      </w:r>
    </w:p>
    <w:p w14:paraId="680604D5" w14:textId="3E8396EB" w:rsidR="009E68F4" w:rsidRPr="000A4BDC" w:rsidRDefault="008873E6" w:rsidP="00D026CA">
      <w:pPr>
        <w:pStyle w:val="CommentText"/>
        <w:spacing w:line="276" w:lineRule="auto"/>
        <w:jc w:val="both"/>
        <w:rPr>
          <w:rFonts w:cstheme="minorHAnsi"/>
          <w:sz w:val="24"/>
          <w:szCs w:val="24"/>
        </w:rPr>
      </w:pPr>
      <w:r w:rsidRPr="000A4BDC">
        <w:rPr>
          <w:rFonts w:cstheme="minorHAnsi"/>
          <w:sz w:val="24"/>
          <w:szCs w:val="24"/>
        </w:rPr>
        <w:t>What type of curriculum to choose at the age of 16, depends on what is available and affordable, and whether or not the student, parents, and staff involved in the choices are aware of what the differences in transition can make to subsequent</w:t>
      </w:r>
      <w:r w:rsidR="00450731" w:rsidRPr="000A4BDC">
        <w:rPr>
          <w:rFonts w:cstheme="minorHAnsi"/>
          <w:sz w:val="24"/>
          <w:szCs w:val="24"/>
        </w:rPr>
        <w:t xml:space="preserve"> higher levels of education.  Therefore,</w:t>
      </w:r>
      <w:r w:rsidRPr="000A4BDC">
        <w:rPr>
          <w:rFonts w:cstheme="minorHAnsi"/>
          <w:sz w:val="24"/>
          <w:szCs w:val="24"/>
        </w:rPr>
        <w:t xml:space="preserve"> </w:t>
      </w:r>
      <w:r w:rsidRPr="00090FE0">
        <w:rPr>
          <w:rFonts w:cstheme="minorHAnsi"/>
          <w:sz w:val="24"/>
          <w:szCs w:val="24"/>
        </w:rPr>
        <w:t xml:space="preserve">as </w:t>
      </w:r>
      <w:r w:rsidR="00DD569E" w:rsidRPr="00090FE0">
        <w:rPr>
          <w:rFonts w:cstheme="minorHAnsi"/>
          <w:sz w:val="24"/>
          <w:szCs w:val="24"/>
        </w:rPr>
        <w:t>in England</w:t>
      </w:r>
      <w:r w:rsidR="00DD569E" w:rsidRPr="000A4BDC">
        <w:rPr>
          <w:rFonts w:cstheme="minorHAnsi"/>
          <w:sz w:val="24"/>
          <w:szCs w:val="24"/>
        </w:rPr>
        <w:t xml:space="preserve"> </w:t>
      </w:r>
      <w:r w:rsidRPr="000A4BDC">
        <w:rPr>
          <w:rFonts w:cstheme="minorHAnsi"/>
          <w:sz w:val="24"/>
          <w:szCs w:val="24"/>
        </w:rPr>
        <w:t>st</w:t>
      </w:r>
      <w:r w:rsidR="003D5956" w:rsidRPr="000A4BDC">
        <w:rPr>
          <w:rFonts w:cstheme="minorHAnsi"/>
          <w:sz w:val="24"/>
          <w:szCs w:val="24"/>
        </w:rPr>
        <w:t xml:space="preserve">ate centres have withdrawn </w:t>
      </w:r>
      <w:r w:rsidRPr="000A4BDC">
        <w:rPr>
          <w:rFonts w:cstheme="minorHAnsi"/>
          <w:sz w:val="24"/>
          <w:szCs w:val="24"/>
        </w:rPr>
        <w:t>the IBDP</w:t>
      </w:r>
      <w:r w:rsidR="00DC4FA8" w:rsidRPr="000A4BDC">
        <w:rPr>
          <w:rFonts w:cstheme="minorHAnsi"/>
          <w:sz w:val="24"/>
          <w:szCs w:val="24"/>
        </w:rPr>
        <w:t>,</w:t>
      </w:r>
      <w:r w:rsidRPr="000A4BDC">
        <w:rPr>
          <w:rFonts w:cstheme="minorHAnsi"/>
          <w:sz w:val="24"/>
          <w:szCs w:val="24"/>
        </w:rPr>
        <w:t xml:space="preserve"> often the only opportunity le</w:t>
      </w:r>
      <w:r w:rsidR="003D5956" w:rsidRPr="000A4BDC">
        <w:rPr>
          <w:rFonts w:cstheme="minorHAnsi"/>
          <w:sz w:val="24"/>
          <w:szCs w:val="24"/>
        </w:rPr>
        <w:t>ft for most is to study the IB</w:t>
      </w:r>
      <w:r w:rsidRPr="000A4BDC">
        <w:rPr>
          <w:rFonts w:cstheme="minorHAnsi"/>
          <w:sz w:val="24"/>
          <w:szCs w:val="24"/>
        </w:rPr>
        <w:t xml:space="preserve">DP inside a fee paying centre: </w:t>
      </w:r>
      <w:r w:rsidRPr="00090FE0">
        <w:rPr>
          <w:rFonts w:cstheme="minorHAnsi"/>
          <w:sz w:val="24"/>
          <w:szCs w:val="24"/>
        </w:rPr>
        <w:t xml:space="preserve">this is a far cry </w:t>
      </w:r>
      <w:r w:rsidR="00D91A6A" w:rsidRPr="00090FE0">
        <w:rPr>
          <w:rFonts w:cstheme="minorHAnsi"/>
          <w:sz w:val="24"/>
          <w:szCs w:val="24"/>
        </w:rPr>
        <w:t>from what the Labour Prime Minister Tony Blair had envisaged in 2005</w:t>
      </w:r>
      <w:r w:rsidR="0055372A" w:rsidRPr="000A4BDC">
        <w:rPr>
          <w:rFonts w:cstheme="minorHAnsi"/>
          <w:sz w:val="24"/>
          <w:szCs w:val="24"/>
        </w:rPr>
        <w:t xml:space="preserve"> </w:t>
      </w:r>
      <w:r w:rsidRPr="00D026CA">
        <w:rPr>
          <w:rFonts w:cstheme="minorHAnsi"/>
          <w:strike/>
          <w:sz w:val="24"/>
          <w:szCs w:val="24"/>
        </w:rPr>
        <w:t>back in 2005.</w:t>
      </w:r>
      <w:r w:rsidRPr="000A4BDC">
        <w:rPr>
          <w:rFonts w:cstheme="minorHAnsi"/>
          <w:sz w:val="24"/>
          <w:szCs w:val="24"/>
        </w:rPr>
        <w:t xml:space="preserve">  In addition, from the IBO’s (2016) list of schools and colleges that currently deliver the IBDP, </w:t>
      </w:r>
      <w:r w:rsidR="009D0A57" w:rsidRPr="000A4BDC">
        <w:rPr>
          <w:rFonts w:cstheme="minorHAnsi"/>
          <w:sz w:val="24"/>
          <w:szCs w:val="24"/>
        </w:rPr>
        <w:t xml:space="preserve">certainly outside London </w:t>
      </w:r>
      <w:r w:rsidRPr="000A4BDC">
        <w:rPr>
          <w:rFonts w:cstheme="minorHAnsi"/>
          <w:sz w:val="24"/>
          <w:szCs w:val="24"/>
        </w:rPr>
        <w:t xml:space="preserve">the </w:t>
      </w:r>
      <w:r w:rsidR="009D0A57" w:rsidRPr="000A4BDC">
        <w:rPr>
          <w:rFonts w:cstheme="minorHAnsi"/>
          <w:sz w:val="24"/>
          <w:szCs w:val="24"/>
        </w:rPr>
        <w:t xml:space="preserve">only </w:t>
      </w:r>
      <w:r w:rsidRPr="000A4BDC">
        <w:rPr>
          <w:rFonts w:cstheme="minorHAnsi"/>
          <w:sz w:val="24"/>
          <w:szCs w:val="24"/>
        </w:rPr>
        <w:t xml:space="preserve">type of schools that appear to be successfully maintaining this course seems to be </w:t>
      </w:r>
      <w:r w:rsidR="00D91A6A" w:rsidRPr="00090FE0">
        <w:rPr>
          <w:rFonts w:cstheme="minorHAnsi"/>
          <w:sz w:val="24"/>
          <w:szCs w:val="24"/>
        </w:rPr>
        <w:t>the elite</w:t>
      </w:r>
      <w:r w:rsidRPr="00090FE0">
        <w:rPr>
          <w:rFonts w:cstheme="minorHAnsi"/>
          <w:sz w:val="24"/>
          <w:szCs w:val="24"/>
        </w:rPr>
        <w:t xml:space="preserve"> </w:t>
      </w:r>
      <w:r w:rsidR="00D91A6A" w:rsidRPr="00090FE0">
        <w:rPr>
          <w:rFonts w:cstheme="minorHAnsi"/>
          <w:sz w:val="24"/>
          <w:szCs w:val="24"/>
        </w:rPr>
        <w:t>public boarding schools</w:t>
      </w:r>
      <w:r w:rsidRPr="00090FE0">
        <w:rPr>
          <w:rFonts w:cstheme="minorHAnsi"/>
          <w:sz w:val="24"/>
          <w:szCs w:val="24"/>
          <w:highlight w:val="yellow"/>
        </w:rPr>
        <w:t>,</w:t>
      </w:r>
      <w:r w:rsidRPr="000A4BDC">
        <w:rPr>
          <w:rFonts w:cstheme="minorHAnsi"/>
          <w:sz w:val="24"/>
          <w:szCs w:val="24"/>
        </w:rPr>
        <w:t xml:space="preserve"> rather than independent day schools.  This, in itself, highlights a usage of the English education system by groups/elites, using certain types of school to signify their own internal class differentiation inside their own social grouping.  These social groups are often international in background and have an international outlook, they are transnational with regard to the world and the global roles they envisage (or imagine</w:t>
      </w:r>
      <w:r w:rsidR="00450731" w:rsidRPr="000A4BDC">
        <w:rPr>
          <w:rFonts w:cstheme="minorHAnsi"/>
          <w:sz w:val="24"/>
          <w:szCs w:val="24"/>
        </w:rPr>
        <w:t xml:space="preserve">, </w:t>
      </w:r>
      <w:r w:rsidRPr="000A4BDC">
        <w:rPr>
          <w:rFonts w:cstheme="minorHAnsi"/>
          <w:sz w:val="24"/>
          <w:szCs w:val="24"/>
        </w:rPr>
        <w:t>Ball, 2012) playing out across their lifetimes.</w:t>
      </w:r>
    </w:p>
    <w:p w14:paraId="49F44116" w14:textId="56B0611C" w:rsidR="00E565E4" w:rsidRPr="000A4BDC" w:rsidRDefault="00DC4FA8" w:rsidP="00582590">
      <w:pPr>
        <w:spacing w:line="276" w:lineRule="auto"/>
        <w:jc w:val="both"/>
        <w:rPr>
          <w:rFonts w:cstheme="minorHAnsi"/>
          <w:sz w:val="24"/>
          <w:szCs w:val="24"/>
        </w:rPr>
      </w:pPr>
      <w:r w:rsidRPr="000A4BDC">
        <w:rPr>
          <w:rFonts w:cstheme="minorHAnsi"/>
          <w:sz w:val="24"/>
          <w:szCs w:val="24"/>
        </w:rPr>
        <w:t>In discussing Ball’s (2003) seminal research on class and education, Beck</w:t>
      </w:r>
      <w:r w:rsidR="00450731" w:rsidRPr="000A4BDC">
        <w:rPr>
          <w:rFonts w:cstheme="minorHAnsi"/>
          <w:sz w:val="24"/>
          <w:szCs w:val="24"/>
        </w:rPr>
        <w:t xml:space="preserve"> (2007) </w:t>
      </w:r>
      <w:r w:rsidRPr="000A4BDC">
        <w:rPr>
          <w:rFonts w:cstheme="minorHAnsi"/>
          <w:sz w:val="24"/>
          <w:szCs w:val="24"/>
        </w:rPr>
        <w:t>highlights the moral dimension as one of the elements that have become predominant</w:t>
      </w:r>
      <w:r w:rsidR="008873E6" w:rsidRPr="000A4BDC">
        <w:rPr>
          <w:rFonts w:cstheme="minorHAnsi"/>
          <w:sz w:val="24"/>
          <w:szCs w:val="24"/>
        </w:rPr>
        <w:t xml:space="preserve"> </w:t>
      </w:r>
      <w:r w:rsidRPr="000A4BDC">
        <w:rPr>
          <w:rFonts w:cstheme="minorHAnsi"/>
          <w:sz w:val="24"/>
          <w:szCs w:val="24"/>
        </w:rPr>
        <w:t>in research on</w:t>
      </w:r>
      <w:r w:rsidR="007E300E" w:rsidRPr="000A4BDC">
        <w:rPr>
          <w:rFonts w:cstheme="minorHAnsi"/>
          <w:sz w:val="24"/>
          <w:szCs w:val="24"/>
        </w:rPr>
        <w:t xml:space="preserve"> class choice and education. </w:t>
      </w:r>
      <w:r w:rsidR="008873E6" w:rsidRPr="000A4BDC">
        <w:rPr>
          <w:rFonts w:cstheme="minorHAnsi"/>
          <w:sz w:val="24"/>
          <w:szCs w:val="24"/>
        </w:rPr>
        <w:t xml:space="preserve">This moral dimension theme is interwoven </w:t>
      </w:r>
      <w:r w:rsidR="00450731" w:rsidRPr="000A4BDC">
        <w:rPr>
          <w:rFonts w:cstheme="minorHAnsi"/>
          <w:sz w:val="24"/>
          <w:szCs w:val="24"/>
        </w:rPr>
        <w:t xml:space="preserve">with </w:t>
      </w:r>
      <w:r w:rsidR="008873E6" w:rsidRPr="000A4BDC">
        <w:rPr>
          <w:rFonts w:cstheme="minorHAnsi"/>
          <w:sz w:val="24"/>
          <w:szCs w:val="24"/>
        </w:rPr>
        <w:t>issues of cultural capital, social closure and n</w:t>
      </w:r>
      <w:r w:rsidRPr="000A4BDC">
        <w:rPr>
          <w:rFonts w:cstheme="minorHAnsi"/>
          <w:sz w:val="24"/>
          <w:szCs w:val="24"/>
        </w:rPr>
        <w:t>arrative coherence (Ball, 2007),</w:t>
      </w:r>
      <w:r w:rsidR="008873E6" w:rsidRPr="000A4BDC">
        <w:rPr>
          <w:rFonts w:cstheme="minorHAnsi"/>
          <w:sz w:val="24"/>
          <w:szCs w:val="24"/>
        </w:rPr>
        <w:t xml:space="preserve"> </w:t>
      </w:r>
      <w:r w:rsidRPr="000A4BDC">
        <w:rPr>
          <w:rFonts w:cstheme="minorHAnsi"/>
          <w:sz w:val="24"/>
          <w:szCs w:val="24"/>
        </w:rPr>
        <w:t>b</w:t>
      </w:r>
      <w:r w:rsidR="008873E6" w:rsidRPr="000A4BDC">
        <w:rPr>
          <w:rFonts w:cstheme="minorHAnsi"/>
          <w:sz w:val="24"/>
          <w:szCs w:val="24"/>
        </w:rPr>
        <w:t xml:space="preserve">ut it must be noted that the concept of social closure is itself potentially subject to change over time. </w:t>
      </w:r>
      <w:r w:rsidR="00E565E4" w:rsidRPr="000A4BDC">
        <w:rPr>
          <w:rFonts w:cstheme="minorHAnsi"/>
          <w:sz w:val="24"/>
          <w:szCs w:val="24"/>
        </w:rPr>
        <w:t>Wright-Mills (195</w:t>
      </w:r>
      <w:r w:rsidR="00787371">
        <w:rPr>
          <w:rFonts w:cstheme="minorHAnsi"/>
          <w:sz w:val="24"/>
          <w:szCs w:val="24"/>
        </w:rPr>
        <w:t>9</w:t>
      </w:r>
      <w:r w:rsidR="00E565E4" w:rsidRPr="000A4BDC">
        <w:rPr>
          <w:rFonts w:cstheme="minorHAnsi"/>
          <w:sz w:val="24"/>
          <w:szCs w:val="24"/>
        </w:rPr>
        <w:t xml:space="preserve">:3) defined power elites in terms of dominant groups ‘in a position to make decisions having major consequences’, and </w:t>
      </w:r>
      <w:r w:rsidR="008873E6" w:rsidRPr="000A4BDC">
        <w:rPr>
          <w:rFonts w:cstheme="minorHAnsi"/>
          <w:sz w:val="24"/>
          <w:szCs w:val="24"/>
        </w:rPr>
        <w:t>Brown</w:t>
      </w:r>
      <w:r w:rsidR="00597E9F" w:rsidRPr="000A4BDC">
        <w:rPr>
          <w:rFonts w:cstheme="minorHAnsi"/>
          <w:sz w:val="24"/>
          <w:szCs w:val="24"/>
        </w:rPr>
        <w:t xml:space="preserve"> (2013:695)</w:t>
      </w:r>
      <w:r w:rsidR="008873E6" w:rsidRPr="000A4BDC">
        <w:rPr>
          <w:rFonts w:cstheme="minorHAnsi"/>
          <w:sz w:val="24"/>
          <w:szCs w:val="24"/>
        </w:rPr>
        <w:t xml:space="preserve"> has argued that elites have previously used social closure to ‘define the rules of the game to their own advantage’ (Brown, 2013: 695).  However, when looking at stratification in global society, the traditional fo</w:t>
      </w:r>
      <w:r w:rsidRPr="000A4BDC">
        <w:rPr>
          <w:rFonts w:cstheme="minorHAnsi"/>
          <w:sz w:val="24"/>
          <w:szCs w:val="24"/>
        </w:rPr>
        <w:t>cus of social closure based on</w:t>
      </w:r>
      <w:r w:rsidR="00E565E4" w:rsidRPr="000A4BDC">
        <w:rPr>
          <w:rFonts w:cstheme="minorHAnsi"/>
          <w:sz w:val="24"/>
          <w:szCs w:val="24"/>
        </w:rPr>
        <w:t xml:space="preserve"> </w:t>
      </w:r>
      <w:r w:rsidR="008873E6" w:rsidRPr="000A4BDC">
        <w:rPr>
          <w:rFonts w:cstheme="minorHAnsi"/>
          <w:sz w:val="24"/>
          <w:szCs w:val="24"/>
        </w:rPr>
        <w:t xml:space="preserve">primarily exclusionary tactics, can </w:t>
      </w:r>
      <w:r w:rsidR="00E565E4" w:rsidRPr="000A4BDC">
        <w:rPr>
          <w:rFonts w:cstheme="minorHAnsi"/>
          <w:sz w:val="24"/>
          <w:szCs w:val="24"/>
        </w:rPr>
        <w:t xml:space="preserve">now </w:t>
      </w:r>
      <w:r w:rsidR="008873E6" w:rsidRPr="000A4BDC">
        <w:rPr>
          <w:rFonts w:cstheme="minorHAnsi"/>
          <w:sz w:val="24"/>
          <w:szCs w:val="24"/>
        </w:rPr>
        <w:t xml:space="preserve">also include </w:t>
      </w:r>
      <w:r w:rsidR="00E565E4" w:rsidRPr="000A4BDC">
        <w:rPr>
          <w:rFonts w:cstheme="minorHAnsi"/>
          <w:sz w:val="24"/>
          <w:szCs w:val="24"/>
        </w:rPr>
        <w:t>‘</w:t>
      </w:r>
      <w:r w:rsidR="008873E6" w:rsidRPr="000A4BDC">
        <w:rPr>
          <w:rFonts w:cstheme="minorHAnsi"/>
          <w:sz w:val="24"/>
          <w:szCs w:val="24"/>
        </w:rPr>
        <w:t xml:space="preserve">consideration of inclusionary tactics to usurp the power base of privileged classes or social groups’ (Brown, 2013: 695).  </w:t>
      </w:r>
      <w:r w:rsidR="00D91A6A" w:rsidRPr="00090FE0">
        <w:rPr>
          <w:rFonts w:cstheme="minorHAnsi"/>
          <w:sz w:val="24"/>
          <w:szCs w:val="24"/>
        </w:rPr>
        <w:t>This idea is echoed by Bunnell (2015) in re</w:t>
      </w:r>
      <w:r w:rsidR="00787371" w:rsidRPr="00090FE0">
        <w:rPr>
          <w:rFonts w:cstheme="minorHAnsi"/>
          <w:sz w:val="24"/>
          <w:szCs w:val="24"/>
        </w:rPr>
        <w:t>lation</w:t>
      </w:r>
      <w:r w:rsidR="00D91A6A" w:rsidRPr="00090FE0">
        <w:rPr>
          <w:rFonts w:cstheme="minorHAnsi"/>
          <w:sz w:val="24"/>
          <w:szCs w:val="24"/>
        </w:rPr>
        <w:t xml:space="preserve"> to the IBDP as ‘rapidly gaining access to elite private schooling and de facto the future ‘power elite’</w:t>
      </w:r>
      <w:r w:rsidR="00787371" w:rsidRPr="00090FE0">
        <w:rPr>
          <w:rFonts w:ascii="Tahoma" w:hAnsi="Tahoma" w:cs="Tahoma"/>
          <w:color w:val="000000"/>
          <w:sz w:val="17"/>
          <w:szCs w:val="17"/>
        </w:rPr>
        <w:t xml:space="preserve">, </w:t>
      </w:r>
      <w:r w:rsidR="00787371" w:rsidRPr="00090FE0">
        <w:rPr>
          <w:rFonts w:cstheme="minorHAnsi"/>
          <w:color w:val="000000"/>
          <w:sz w:val="24"/>
          <w:szCs w:val="24"/>
        </w:rPr>
        <w:t>making reference to Wright-Mills (1959).</w:t>
      </w:r>
    </w:p>
    <w:p w14:paraId="3A71BD70" w14:textId="77777777" w:rsidR="00597E9F" w:rsidRPr="00090FE0" w:rsidRDefault="00D91A6A" w:rsidP="00582590">
      <w:pPr>
        <w:spacing w:line="276" w:lineRule="auto"/>
        <w:jc w:val="both"/>
        <w:rPr>
          <w:rFonts w:cstheme="minorHAnsi"/>
          <w:sz w:val="24"/>
          <w:szCs w:val="24"/>
        </w:rPr>
      </w:pPr>
      <w:r w:rsidRPr="00090FE0">
        <w:rPr>
          <w:rFonts w:cstheme="minorHAnsi"/>
          <w:sz w:val="24"/>
          <w:szCs w:val="24"/>
        </w:rPr>
        <w:t>Paragraph deleted in response to peer reviewer’s comments on suitability of content.</w:t>
      </w:r>
    </w:p>
    <w:p w14:paraId="7EB4E328" w14:textId="415C2DE6" w:rsidR="0055372A" w:rsidRPr="000A4BDC" w:rsidRDefault="00D91A6A" w:rsidP="00D026CA">
      <w:pPr>
        <w:spacing w:line="276" w:lineRule="auto"/>
        <w:jc w:val="both"/>
      </w:pPr>
      <w:r w:rsidRPr="00090FE0">
        <w:rPr>
          <w:rFonts w:cstheme="minorHAnsi"/>
          <w:sz w:val="24"/>
          <w:szCs w:val="24"/>
        </w:rPr>
        <w:t>Section: Equity, learning and the global context, deleted due to peer reviewer’s comment on relevance in the context of the paper.</w:t>
      </w:r>
      <w:bookmarkStart w:id="1" w:name="_Toc449258250"/>
    </w:p>
    <w:p w14:paraId="7C7B7F05" w14:textId="77777777" w:rsidR="0092347F" w:rsidRPr="000A4BDC" w:rsidRDefault="0092347F" w:rsidP="00582590">
      <w:pPr>
        <w:pStyle w:val="Heading2"/>
        <w:spacing w:line="276" w:lineRule="auto"/>
        <w:ind w:left="0" w:firstLine="0"/>
        <w:jc w:val="both"/>
        <w:rPr>
          <w:rFonts w:asciiTheme="minorHAnsi" w:hAnsiTheme="minorHAnsi" w:cstheme="minorHAnsi"/>
        </w:rPr>
      </w:pPr>
      <w:r w:rsidRPr="000A4BDC">
        <w:rPr>
          <w:rFonts w:asciiTheme="minorHAnsi" w:hAnsiTheme="minorHAnsi" w:cstheme="minorHAnsi"/>
        </w:rPr>
        <w:t>Achieving social justice</w:t>
      </w:r>
      <w:bookmarkEnd w:id="1"/>
      <w:r w:rsidR="00A3436D" w:rsidRPr="000A4BDC">
        <w:rPr>
          <w:rFonts w:asciiTheme="minorHAnsi" w:hAnsiTheme="minorHAnsi" w:cstheme="minorHAnsi"/>
        </w:rPr>
        <w:t>- Educational Policy in England.</w:t>
      </w:r>
    </w:p>
    <w:p w14:paraId="28C4EF02" w14:textId="15CA076F" w:rsidR="0092347F" w:rsidRPr="000A4BDC" w:rsidRDefault="001319C5" w:rsidP="00582590">
      <w:pPr>
        <w:spacing w:line="276" w:lineRule="auto"/>
        <w:jc w:val="both"/>
        <w:rPr>
          <w:rFonts w:cstheme="minorHAnsi"/>
          <w:sz w:val="24"/>
          <w:szCs w:val="24"/>
        </w:rPr>
      </w:pPr>
      <w:r w:rsidRPr="00090FE0">
        <w:rPr>
          <w:rFonts w:cstheme="minorHAnsi"/>
          <w:sz w:val="24"/>
          <w:szCs w:val="24"/>
        </w:rPr>
        <w:t>The issue of s</w:t>
      </w:r>
      <w:r w:rsidR="0092347F" w:rsidRPr="00090FE0">
        <w:rPr>
          <w:rFonts w:cstheme="minorHAnsi"/>
          <w:sz w:val="24"/>
          <w:szCs w:val="24"/>
        </w:rPr>
        <w:t>ocial justice and whether or not an education syste</w:t>
      </w:r>
      <w:r w:rsidRPr="00090FE0">
        <w:rPr>
          <w:rFonts w:cstheme="minorHAnsi"/>
          <w:sz w:val="24"/>
          <w:szCs w:val="24"/>
        </w:rPr>
        <w:t>m manages to achieve equity, was discussed in a seminal text by Halsey et al (1965), which detailed</w:t>
      </w:r>
      <w:r w:rsidR="0092347F" w:rsidRPr="00090FE0">
        <w:rPr>
          <w:rFonts w:cstheme="minorHAnsi"/>
          <w:sz w:val="24"/>
          <w:szCs w:val="24"/>
        </w:rPr>
        <w:t xml:space="preserve"> the waste of w</w:t>
      </w:r>
      <w:r w:rsidR="00FD7054" w:rsidRPr="00090FE0">
        <w:rPr>
          <w:rFonts w:cstheme="minorHAnsi"/>
          <w:sz w:val="24"/>
          <w:szCs w:val="24"/>
        </w:rPr>
        <w:t xml:space="preserve">orking class talent in the UK </w:t>
      </w:r>
      <w:r w:rsidR="0092347F" w:rsidRPr="00090FE0">
        <w:rPr>
          <w:rFonts w:cstheme="minorHAnsi"/>
          <w:sz w:val="24"/>
          <w:szCs w:val="24"/>
        </w:rPr>
        <w:t>due to the nature of the selective grammar school system</w:t>
      </w:r>
      <w:r w:rsidR="009D0A57" w:rsidRPr="00090FE0">
        <w:rPr>
          <w:rFonts w:cstheme="minorHAnsi"/>
          <w:sz w:val="24"/>
          <w:szCs w:val="24"/>
        </w:rPr>
        <w:t xml:space="preserve">, a very pertinent topic in England as the current Conservative Prime Minister would like to see a return to </w:t>
      </w:r>
      <w:r w:rsidR="007668F5" w:rsidRPr="00090FE0">
        <w:rPr>
          <w:rFonts w:cstheme="minorHAnsi"/>
          <w:color w:val="000000"/>
          <w:sz w:val="24"/>
          <w:szCs w:val="24"/>
        </w:rPr>
        <w:t>an expansion of the grammar school education system</w:t>
      </w:r>
      <w:r w:rsidR="0092347F" w:rsidRPr="00090FE0">
        <w:rPr>
          <w:rFonts w:cstheme="minorHAnsi"/>
          <w:sz w:val="24"/>
          <w:szCs w:val="24"/>
        </w:rPr>
        <w:t xml:space="preserve">.  This subsequently led to </w:t>
      </w:r>
      <w:r w:rsidR="00CA39CA" w:rsidRPr="00090FE0">
        <w:rPr>
          <w:rFonts w:cstheme="minorHAnsi"/>
          <w:sz w:val="24"/>
          <w:szCs w:val="24"/>
        </w:rPr>
        <w:lastRenderedPageBreak/>
        <w:t xml:space="preserve">Halsey’s </w:t>
      </w:r>
      <w:r w:rsidR="0092347F" w:rsidRPr="00090FE0">
        <w:rPr>
          <w:rFonts w:cstheme="minorHAnsi"/>
          <w:sz w:val="24"/>
          <w:szCs w:val="24"/>
        </w:rPr>
        <w:t xml:space="preserve"> appointment as an education advisor to the two Labour Governments (1964-66, and 1966-70).  In this role, Halsey was instrumental in the drafting and instigating of Circular 10/65 that abolished grammar schools in England and Wales.  Halsey’s main drive was to create a less divisive and more socially fair system in which all talents could thrive.  It is argued here that despite the post-97 Labour Government’s overt intentions to create a less divisive and more socially fair system, their tenure saw the expansion of faith schools, specialist schools, and increased diversity particularly with regard to post-16 education (Chitty, 2009).  This increased post-16 diversity has led to a more, not less, divisive education system (Tomlinson, 2008).  </w:t>
      </w:r>
      <w:r w:rsidR="00BE556F" w:rsidRPr="00090FE0">
        <w:rPr>
          <w:rFonts w:cstheme="minorHAnsi"/>
          <w:sz w:val="24"/>
          <w:szCs w:val="24"/>
        </w:rPr>
        <w:t xml:space="preserve">Furthermore, in terms of the entrenching of privilege in England, </w:t>
      </w:r>
      <w:r w:rsidR="0092347F" w:rsidRPr="00090FE0">
        <w:rPr>
          <w:rFonts w:cstheme="minorHAnsi"/>
          <w:sz w:val="24"/>
          <w:szCs w:val="24"/>
        </w:rPr>
        <w:t>Milburn’s</w:t>
      </w:r>
      <w:r w:rsidR="00FE206F" w:rsidRPr="00090FE0">
        <w:rPr>
          <w:rFonts w:cstheme="minorHAnsi"/>
          <w:sz w:val="24"/>
          <w:szCs w:val="24"/>
        </w:rPr>
        <w:t xml:space="preserve"> Social Mobility Reports of 2009</w:t>
      </w:r>
      <w:r w:rsidR="003B1CFA" w:rsidRPr="00090FE0">
        <w:rPr>
          <w:rFonts w:cstheme="minorHAnsi"/>
          <w:sz w:val="24"/>
          <w:szCs w:val="24"/>
        </w:rPr>
        <w:t xml:space="preserve">, </w:t>
      </w:r>
      <w:r w:rsidR="00FE206F" w:rsidRPr="00090FE0">
        <w:rPr>
          <w:rFonts w:cstheme="minorHAnsi"/>
          <w:sz w:val="24"/>
          <w:szCs w:val="24"/>
        </w:rPr>
        <w:t>2012</w:t>
      </w:r>
      <w:r w:rsidR="00C90BC9" w:rsidRPr="00090FE0">
        <w:rPr>
          <w:rFonts w:cstheme="minorHAnsi"/>
          <w:sz w:val="24"/>
          <w:szCs w:val="24"/>
        </w:rPr>
        <w:t>, 2015</w:t>
      </w:r>
      <w:r w:rsidR="003B1CFA" w:rsidRPr="00090FE0">
        <w:rPr>
          <w:rFonts w:cstheme="minorHAnsi"/>
          <w:sz w:val="24"/>
          <w:szCs w:val="24"/>
        </w:rPr>
        <w:t xml:space="preserve"> and 2016</w:t>
      </w:r>
      <w:r w:rsidR="0092347F" w:rsidRPr="00090FE0">
        <w:rPr>
          <w:rFonts w:cstheme="minorHAnsi"/>
          <w:sz w:val="24"/>
          <w:szCs w:val="24"/>
        </w:rPr>
        <w:t xml:space="preserve"> docume</w:t>
      </w:r>
      <w:r w:rsidR="00BE556F" w:rsidRPr="00090FE0">
        <w:rPr>
          <w:rFonts w:cstheme="minorHAnsi"/>
          <w:sz w:val="24"/>
          <w:szCs w:val="24"/>
        </w:rPr>
        <w:t xml:space="preserve">nted </w:t>
      </w:r>
      <w:r w:rsidR="002B7034" w:rsidRPr="00090FE0">
        <w:rPr>
          <w:rFonts w:cstheme="minorHAnsi"/>
          <w:sz w:val="24"/>
          <w:szCs w:val="24"/>
        </w:rPr>
        <w:t xml:space="preserve">the increasing social divide </w:t>
      </w:r>
      <w:r w:rsidR="008A576F" w:rsidRPr="00090FE0">
        <w:rPr>
          <w:rFonts w:cstheme="minorHAnsi"/>
          <w:sz w:val="24"/>
          <w:szCs w:val="24"/>
        </w:rPr>
        <w:t>and the lack of social mobility in Great Britain. Significantly,</w:t>
      </w:r>
      <w:r w:rsidR="00BE556F" w:rsidRPr="00090FE0">
        <w:rPr>
          <w:rFonts w:cstheme="minorHAnsi"/>
          <w:sz w:val="24"/>
          <w:szCs w:val="24"/>
        </w:rPr>
        <w:t xml:space="preserve"> unpaid internships have become </w:t>
      </w:r>
      <w:r w:rsidR="0092347F" w:rsidRPr="00090FE0">
        <w:rPr>
          <w:rFonts w:cstheme="minorHAnsi"/>
          <w:sz w:val="24"/>
          <w:szCs w:val="24"/>
        </w:rPr>
        <w:t xml:space="preserve">common practice for cementing (upper?) middle class connections </w:t>
      </w:r>
      <w:r w:rsidR="00CA39CA" w:rsidRPr="00090FE0">
        <w:rPr>
          <w:rFonts w:cstheme="minorHAnsi"/>
          <w:sz w:val="24"/>
          <w:szCs w:val="24"/>
        </w:rPr>
        <w:t xml:space="preserve">inside </w:t>
      </w:r>
      <w:r w:rsidR="0092347F" w:rsidRPr="00090FE0">
        <w:rPr>
          <w:rFonts w:cstheme="minorHAnsi"/>
          <w:sz w:val="24"/>
          <w:szCs w:val="24"/>
        </w:rPr>
        <w:t xml:space="preserve">elite groups </w:t>
      </w:r>
      <w:r w:rsidR="00CA39CA" w:rsidRPr="00090FE0">
        <w:rPr>
          <w:rFonts w:cstheme="minorHAnsi"/>
          <w:sz w:val="24"/>
          <w:szCs w:val="24"/>
        </w:rPr>
        <w:t>(</w:t>
      </w:r>
      <w:r w:rsidR="0037033A" w:rsidRPr="00090FE0">
        <w:rPr>
          <w:rFonts w:cstheme="minorHAnsi"/>
          <w:sz w:val="24"/>
          <w:szCs w:val="24"/>
        </w:rPr>
        <w:t>Savage</w:t>
      </w:r>
      <w:r w:rsidR="001E0F49" w:rsidRPr="00090FE0">
        <w:rPr>
          <w:rFonts w:cstheme="minorHAnsi"/>
          <w:sz w:val="24"/>
          <w:szCs w:val="24"/>
        </w:rPr>
        <w:t xml:space="preserve"> </w:t>
      </w:r>
      <w:r w:rsidR="00F61732" w:rsidRPr="00090FE0">
        <w:rPr>
          <w:rFonts w:cstheme="minorHAnsi"/>
          <w:sz w:val="24"/>
          <w:szCs w:val="24"/>
        </w:rPr>
        <w:t>et al</w:t>
      </w:r>
      <w:r w:rsidR="0092347F" w:rsidRPr="00090FE0">
        <w:rPr>
          <w:rFonts w:cstheme="minorHAnsi"/>
          <w:sz w:val="24"/>
          <w:szCs w:val="24"/>
        </w:rPr>
        <w:t>, 2015)</w:t>
      </w:r>
      <w:r w:rsidR="00901747" w:rsidRPr="00090FE0">
        <w:rPr>
          <w:rFonts w:cstheme="minorHAnsi"/>
          <w:sz w:val="24"/>
          <w:szCs w:val="24"/>
        </w:rPr>
        <w:t>,</w:t>
      </w:r>
      <w:r w:rsidR="008A576F" w:rsidRPr="00090FE0">
        <w:rPr>
          <w:rFonts w:cstheme="minorHAnsi"/>
          <w:sz w:val="24"/>
          <w:szCs w:val="24"/>
        </w:rPr>
        <w:t xml:space="preserve"> and </w:t>
      </w:r>
      <w:r w:rsidR="0092347F" w:rsidRPr="00090FE0">
        <w:rPr>
          <w:rFonts w:cstheme="minorHAnsi"/>
          <w:sz w:val="24"/>
          <w:szCs w:val="24"/>
        </w:rPr>
        <w:t xml:space="preserve">students </w:t>
      </w:r>
      <w:r w:rsidR="008A576F" w:rsidRPr="00090FE0">
        <w:rPr>
          <w:rFonts w:cstheme="minorHAnsi"/>
          <w:sz w:val="24"/>
          <w:szCs w:val="24"/>
        </w:rPr>
        <w:t>a</w:t>
      </w:r>
      <w:r w:rsidR="0092347F" w:rsidRPr="00090FE0">
        <w:rPr>
          <w:rFonts w:cstheme="minorHAnsi"/>
          <w:sz w:val="24"/>
          <w:szCs w:val="24"/>
        </w:rPr>
        <w:t>re seven times more likely to enter a professional career if from professional pare</w:t>
      </w:r>
      <w:r w:rsidR="00FE206F" w:rsidRPr="00090FE0">
        <w:rPr>
          <w:rFonts w:cstheme="minorHAnsi"/>
          <w:sz w:val="24"/>
          <w:szCs w:val="24"/>
        </w:rPr>
        <w:t xml:space="preserve">nts than if not, </w:t>
      </w:r>
      <w:r w:rsidR="00BE556F" w:rsidRPr="00090FE0">
        <w:rPr>
          <w:rFonts w:cstheme="minorHAnsi"/>
          <w:sz w:val="24"/>
          <w:szCs w:val="24"/>
        </w:rPr>
        <w:t>providing a further example of social closure</w:t>
      </w:r>
      <w:r w:rsidR="00CA39CA" w:rsidRPr="00090FE0">
        <w:rPr>
          <w:rFonts w:cstheme="minorHAnsi"/>
          <w:sz w:val="24"/>
          <w:szCs w:val="24"/>
        </w:rPr>
        <w:t xml:space="preserve"> (Milburn, 2009)</w:t>
      </w:r>
      <w:r w:rsidR="001E0F49" w:rsidRPr="00090FE0">
        <w:rPr>
          <w:rFonts w:cstheme="minorHAnsi"/>
          <w:sz w:val="24"/>
          <w:szCs w:val="24"/>
        </w:rPr>
        <w:t>.</w:t>
      </w:r>
    </w:p>
    <w:p w14:paraId="2611F3DF" w14:textId="59418E03" w:rsidR="0055372A" w:rsidRPr="000A4BDC" w:rsidRDefault="00E46166" w:rsidP="00582590">
      <w:pPr>
        <w:spacing w:line="276" w:lineRule="auto"/>
        <w:jc w:val="both"/>
        <w:rPr>
          <w:rFonts w:cstheme="minorHAnsi"/>
          <w:sz w:val="24"/>
          <w:szCs w:val="24"/>
        </w:rPr>
      </w:pPr>
      <w:r w:rsidRPr="00090FE0">
        <w:rPr>
          <w:rFonts w:cstheme="minorHAnsi"/>
          <w:sz w:val="24"/>
          <w:szCs w:val="24"/>
        </w:rPr>
        <w:t>Piketty (2013), documents the ways in which public funding strategies are linked to the post-2007 economic depression, characterised by an increase in wealth inequality. In this spirit, o</w:t>
      </w:r>
      <w:r w:rsidR="00D91A6A" w:rsidRPr="00090FE0">
        <w:rPr>
          <w:rFonts w:cstheme="minorHAnsi"/>
          <w:sz w:val="24"/>
          <w:szCs w:val="24"/>
        </w:rPr>
        <w:t>ne of most noticeable aspects of Michael Gove’s leadership as Secretary of State for Education</w:t>
      </w:r>
      <w:r w:rsidRPr="00090FE0">
        <w:rPr>
          <w:rFonts w:cstheme="minorHAnsi"/>
          <w:sz w:val="24"/>
          <w:szCs w:val="24"/>
        </w:rPr>
        <w:t xml:space="preserve"> during the Coalition Government </w:t>
      </w:r>
      <w:r w:rsidR="00D91A6A" w:rsidRPr="00090FE0">
        <w:rPr>
          <w:rFonts w:cstheme="minorHAnsi"/>
          <w:sz w:val="24"/>
          <w:szCs w:val="24"/>
        </w:rPr>
        <w:t xml:space="preserve"> was the recourse to solutions that were ostensibly driven by a sense of social justice, such as additional funding to raise the attainment of disadvantaged pupils under the Pupil Premium Policy</w:t>
      </w:r>
      <w:r w:rsidRPr="00090FE0">
        <w:rPr>
          <w:rFonts w:cstheme="minorHAnsi"/>
          <w:sz w:val="24"/>
          <w:szCs w:val="24"/>
        </w:rPr>
        <w:t xml:space="preserve"> in 2010</w:t>
      </w:r>
      <w:r w:rsidR="00D91A6A" w:rsidRPr="00090FE0">
        <w:rPr>
          <w:rFonts w:cstheme="minorHAnsi"/>
          <w:sz w:val="24"/>
          <w:szCs w:val="24"/>
        </w:rPr>
        <w:t>, subsequently recognised as a policy for ‘the disadvantaged’ (DfE, 2014). This additional budget strand was handed directly from central government to individual school/college leaders</w:t>
      </w:r>
      <w:r w:rsidRPr="00090FE0">
        <w:rPr>
          <w:rFonts w:cstheme="minorHAnsi"/>
          <w:sz w:val="24"/>
          <w:szCs w:val="24"/>
        </w:rPr>
        <w:t xml:space="preserve">, representing </w:t>
      </w:r>
      <w:r w:rsidRPr="00090FE0" w:rsidDel="00E46166">
        <w:rPr>
          <w:rFonts w:cstheme="minorHAnsi"/>
          <w:sz w:val="24"/>
          <w:szCs w:val="24"/>
        </w:rPr>
        <w:t xml:space="preserve"> </w:t>
      </w:r>
      <w:r w:rsidRPr="00090FE0">
        <w:rPr>
          <w:rFonts w:cstheme="minorHAnsi"/>
          <w:sz w:val="24"/>
          <w:szCs w:val="24"/>
        </w:rPr>
        <w:t>an example of a public funding strategy linked to the post-2007 economic depression.</w:t>
      </w:r>
    </w:p>
    <w:p w14:paraId="19C58B2E" w14:textId="42F1DE5C" w:rsidR="0092347F" w:rsidRPr="000A4BDC" w:rsidRDefault="0092347F" w:rsidP="00582590">
      <w:pPr>
        <w:spacing w:line="276" w:lineRule="auto"/>
        <w:jc w:val="both"/>
        <w:rPr>
          <w:rFonts w:cstheme="minorHAnsi"/>
          <w:sz w:val="24"/>
          <w:szCs w:val="24"/>
        </w:rPr>
      </w:pPr>
      <w:r w:rsidRPr="000A4BDC">
        <w:rPr>
          <w:rFonts w:cstheme="minorHAnsi"/>
          <w:sz w:val="24"/>
          <w:szCs w:val="24"/>
        </w:rPr>
        <w:t xml:space="preserve">This leaves a situation in England </w:t>
      </w:r>
      <w:r w:rsidRPr="00090FE0">
        <w:rPr>
          <w:rFonts w:cstheme="minorHAnsi"/>
          <w:sz w:val="24"/>
          <w:szCs w:val="24"/>
        </w:rPr>
        <w:t>where even</w:t>
      </w:r>
      <w:r w:rsidR="00140A9A" w:rsidRPr="00090FE0">
        <w:rPr>
          <w:rFonts w:cstheme="minorHAnsi"/>
          <w:sz w:val="24"/>
          <w:szCs w:val="24"/>
        </w:rPr>
        <w:t xml:space="preserve"> </w:t>
      </w:r>
      <w:r w:rsidR="00D91A6A" w:rsidRPr="00090FE0">
        <w:rPr>
          <w:rFonts w:cstheme="minorHAnsi"/>
          <w:sz w:val="24"/>
          <w:szCs w:val="24"/>
        </w:rPr>
        <w:t>Joanne Milner, Chief Executive at Debrett, a specialist publisher concerned with traditional etiquette and people of influence in the UK,</w:t>
      </w:r>
      <w:r w:rsidR="00140A9A" w:rsidRPr="00D026CA">
        <w:rPr>
          <w:rFonts w:cstheme="minorHAnsi"/>
          <w:sz w:val="24"/>
          <w:szCs w:val="24"/>
        </w:rPr>
        <w:t xml:space="preserve"> </w:t>
      </w:r>
      <w:r w:rsidRPr="000A4BDC">
        <w:rPr>
          <w:rFonts w:cstheme="minorHAnsi"/>
          <w:sz w:val="24"/>
          <w:szCs w:val="24"/>
        </w:rPr>
        <w:t xml:space="preserve">has commented that ‘...Britain is becoming less meritocratic.  As a young person growing up in Britain today, you have a far greater chance of succeeding if you come from a privileged background and have </w:t>
      </w:r>
      <w:r w:rsidR="00BE556F" w:rsidRPr="000A4BDC">
        <w:rPr>
          <w:rFonts w:cstheme="minorHAnsi"/>
          <w:sz w:val="24"/>
          <w:szCs w:val="24"/>
        </w:rPr>
        <w:t>inherited a rich social capital</w:t>
      </w:r>
      <w:r w:rsidRPr="000A4BDC">
        <w:rPr>
          <w:rFonts w:cstheme="minorHAnsi"/>
          <w:sz w:val="24"/>
          <w:szCs w:val="24"/>
        </w:rPr>
        <w:t>’ (</w:t>
      </w:r>
      <w:r w:rsidR="00B40485" w:rsidRPr="000A4BDC">
        <w:rPr>
          <w:rFonts w:cstheme="minorHAnsi"/>
          <w:sz w:val="24"/>
          <w:szCs w:val="24"/>
        </w:rPr>
        <w:t xml:space="preserve">Milner, </w:t>
      </w:r>
      <w:r w:rsidRPr="000A4BDC">
        <w:rPr>
          <w:rFonts w:cstheme="minorHAnsi"/>
          <w:sz w:val="24"/>
          <w:szCs w:val="24"/>
        </w:rPr>
        <w:t xml:space="preserve">2015). </w:t>
      </w:r>
    </w:p>
    <w:p w14:paraId="4A791D08" w14:textId="77777777" w:rsidR="0092347F" w:rsidRPr="000A4BDC" w:rsidRDefault="0092347F" w:rsidP="00582590">
      <w:pPr>
        <w:pStyle w:val="Heading2"/>
        <w:spacing w:line="276" w:lineRule="auto"/>
        <w:ind w:left="0" w:firstLine="0"/>
        <w:jc w:val="both"/>
        <w:rPr>
          <w:rFonts w:asciiTheme="minorHAnsi" w:hAnsiTheme="minorHAnsi" w:cstheme="minorHAnsi"/>
        </w:rPr>
      </w:pPr>
      <w:bookmarkStart w:id="2" w:name="_Toc449258251"/>
      <w:r w:rsidRPr="000A4BDC">
        <w:rPr>
          <w:rFonts w:asciiTheme="minorHAnsi" w:hAnsiTheme="minorHAnsi" w:cstheme="minorHAnsi"/>
        </w:rPr>
        <w:t>Cultural Capital</w:t>
      </w:r>
      <w:bookmarkEnd w:id="2"/>
      <w:r w:rsidR="000E2E01" w:rsidRPr="000A4BDC">
        <w:rPr>
          <w:rFonts w:asciiTheme="minorHAnsi" w:hAnsiTheme="minorHAnsi" w:cstheme="minorHAnsi"/>
        </w:rPr>
        <w:t>.</w:t>
      </w:r>
    </w:p>
    <w:p w14:paraId="235B9406" w14:textId="2914346A" w:rsidR="009E68F4" w:rsidRPr="000A4BDC" w:rsidRDefault="0092347F" w:rsidP="00D026CA">
      <w:pPr>
        <w:pStyle w:val="CommentText"/>
        <w:spacing w:line="276" w:lineRule="auto"/>
        <w:jc w:val="both"/>
        <w:rPr>
          <w:rFonts w:cstheme="minorHAnsi"/>
          <w:sz w:val="24"/>
          <w:szCs w:val="24"/>
        </w:rPr>
      </w:pPr>
      <w:r w:rsidRPr="000A4BDC">
        <w:rPr>
          <w:rFonts w:cstheme="minorHAnsi"/>
          <w:sz w:val="24"/>
          <w:szCs w:val="24"/>
        </w:rPr>
        <w:t>Piketty draws on Bourdieu’s (19</w:t>
      </w:r>
      <w:r w:rsidR="00DD2B3E" w:rsidRPr="000A4BDC">
        <w:rPr>
          <w:rFonts w:cstheme="minorHAnsi"/>
          <w:sz w:val="24"/>
          <w:szCs w:val="24"/>
        </w:rPr>
        <w:t>86) analysis in this area concentrating</w:t>
      </w:r>
      <w:r w:rsidRPr="000A4BDC">
        <w:rPr>
          <w:rFonts w:cstheme="minorHAnsi"/>
          <w:sz w:val="24"/>
          <w:szCs w:val="24"/>
        </w:rPr>
        <w:t xml:space="preserve"> on the development of ter</w:t>
      </w:r>
      <w:r w:rsidR="004D46E3" w:rsidRPr="000A4BDC">
        <w:rPr>
          <w:rFonts w:cstheme="minorHAnsi"/>
          <w:sz w:val="24"/>
          <w:szCs w:val="24"/>
        </w:rPr>
        <w:t>ms such as ‘cultural capital’</w:t>
      </w:r>
      <w:r w:rsidR="001C67BD" w:rsidRPr="000A4BDC">
        <w:rPr>
          <w:rFonts w:cstheme="minorHAnsi"/>
          <w:sz w:val="24"/>
          <w:szCs w:val="24"/>
        </w:rPr>
        <w:t>.  Bourdieu and Passeron (199</w:t>
      </w:r>
      <w:r w:rsidRPr="000A4BDC">
        <w:rPr>
          <w:rFonts w:cstheme="minorHAnsi"/>
          <w:sz w:val="24"/>
          <w:szCs w:val="24"/>
        </w:rPr>
        <w:t xml:space="preserve">0) arguably began the debate around how networks are developed in order to entrench middle-class </w:t>
      </w:r>
      <w:r w:rsidR="00DD2B3E" w:rsidRPr="000A4BDC">
        <w:rPr>
          <w:rFonts w:cstheme="minorHAnsi"/>
          <w:sz w:val="24"/>
          <w:szCs w:val="24"/>
        </w:rPr>
        <w:t>positions of cultural advantage, meaning that g</w:t>
      </w:r>
      <w:r w:rsidRPr="000A4BDC">
        <w:rPr>
          <w:rFonts w:cstheme="minorHAnsi"/>
          <w:sz w:val="24"/>
          <w:szCs w:val="24"/>
        </w:rPr>
        <w:t xml:space="preserve">roups with high levels of capital </w:t>
      </w:r>
      <w:r w:rsidR="00DD2B3E" w:rsidRPr="000A4BDC">
        <w:rPr>
          <w:rFonts w:cstheme="minorHAnsi"/>
          <w:sz w:val="24"/>
          <w:szCs w:val="24"/>
        </w:rPr>
        <w:t xml:space="preserve">are </w:t>
      </w:r>
      <w:r w:rsidRPr="000A4BDC">
        <w:rPr>
          <w:rFonts w:cstheme="minorHAnsi"/>
          <w:sz w:val="24"/>
          <w:szCs w:val="24"/>
        </w:rPr>
        <w:t xml:space="preserve">thus </w:t>
      </w:r>
      <w:r w:rsidR="00DD2B3E" w:rsidRPr="000A4BDC">
        <w:rPr>
          <w:rFonts w:cstheme="minorHAnsi"/>
          <w:sz w:val="24"/>
          <w:szCs w:val="24"/>
        </w:rPr>
        <w:t xml:space="preserve">able to </w:t>
      </w:r>
      <w:r w:rsidRPr="000A4BDC">
        <w:rPr>
          <w:rFonts w:cstheme="minorHAnsi"/>
          <w:sz w:val="24"/>
          <w:szCs w:val="24"/>
        </w:rPr>
        <w:t>maintain parts of the education system for themselves.  Such use of cultural capital has continued virtually unrestricted, even after the Labour government made some policy in-roads to address it, such as the development of the Excellence</w:t>
      </w:r>
      <w:r w:rsidR="00807F91" w:rsidRPr="000A4BDC">
        <w:rPr>
          <w:rFonts w:cstheme="minorHAnsi"/>
          <w:sz w:val="24"/>
          <w:szCs w:val="24"/>
        </w:rPr>
        <w:t xml:space="preserve">-in-Cities programme (2001) the creation of NAGTY- National Academy for Gifted and Talented Youth </w:t>
      </w:r>
      <w:r w:rsidRPr="000A4BDC">
        <w:rPr>
          <w:rFonts w:cstheme="minorHAnsi"/>
          <w:sz w:val="24"/>
          <w:szCs w:val="24"/>
        </w:rPr>
        <w:t>(2003), and the London Challenge (2003)</w:t>
      </w:r>
      <w:r w:rsidR="00081C79" w:rsidRPr="000A4BDC">
        <w:rPr>
          <w:rFonts w:cstheme="minorHAnsi"/>
          <w:sz w:val="24"/>
          <w:szCs w:val="24"/>
        </w:rPr>
        <w:t xml:space="preserve">, </w:t>
      </w:r>
      <w:r w:rsidR="00FC0CEC" w:rsidRPr="000A4BDC">
        <w:rPr>
          <w:rFonts w:cstheme="minorHAnsi"/>
          <w:sz w:val="24"/>
          <w:szCs w:val="24"/>
        </w:rPr>
        <w:t xml:space="preserve"> </w:t>
      </w:r>
      <w:r w:rsidR="00D91A6A" w:rsidRPr="00090FE0">
        <w:rPr>
          <w:rFonts w:cstheme="minorHAnsi"/>
          <w:sz w:val="24"/>
          <w:szCs w:val="24"/>
        </w:rPr>
        <w:t>initiatives that aimed to address the issue of inequality particularly in inner cities and other urban areas.  These New Labour policies were criticised by those such as Tomlinson (2008), for effectively pandering to the middle classes.  These policies gave the upper middle class (or elite group, Savage</w:t>
      </w:r>
      <w:r w:rsidR="001E0F49" w:rsidRPr="00090FE0">
        <w:rPr>
          <w:rFonts w:cstheme="minorHAnsi"/>
          <w:sz w:val="24"/>
          <w:szCs w:val="24"/>
        </w:rPr>
        <w:t xml:space="preserve"> </w:t>
      </w:r>
      <w:r w:rsidR="00F61732" w:rsidRPr="00090FE0">
        <w:rPr>
          <w:rFonts w:cstheme="minorHAnsi"/>
          <w:sz w:val="24"/>
          <w:szCs w:val="24"/>
        </w:rPr>
        <w:t>et al</w:t>
      </w:r>
      <w:r w:rsidR="001E0F49" w:rsidRPr="00090FE0">
        <w:rPr>
          <w:rFonts w:cstheme="minorHAnsi"/>
          <w:sz w:val="24"/>
          <w:szCs w:val="24"/>
        </w:rPr>
        <w:t>,</w:t>
      </w:r>
      <w:r w:rsidR="00D91A6A" w:rsidRPr="00090FE0">
        <w:rPr>
          <w:rFonts w:cstheme="minorHAnsi"/>
          <w:sz w:val="24"/>
          <w:szCs w:val="24"/>
        </w:rPr>
        <w:t xml:space="preserve"> 2015), in particular, a reason to stay</w:t>
      </w:r>
      <w:r w:rsidRPr="000A4BDC">
        <w:rPr>
          <w:rFonts w:cstheme="minorHAnsi"/>
          <w:sz w:val="24"/>
          <w:szCs w:val="24"/>
        </w:rPr>
        <w:t xml:space="preserve"> inside the state sector and </w:t>
      </w:r>
      <w:r w:rsidRPr="000A4BDC">
        <w:rPr>
          <w:rFonts w:cstheme="minorHAnsi"/>
          <w:sz w:val="24"/>
          <w:szCs w:val="24"/>
        </w:rPr>
        <w:lastRenderedPageBreak/>
        <w:t xml:space="preserve">capitalise on educational opportunities that were considered appropriate to them.  As a government strategy, it was argued </w:t>
      </w:r>
      <w:r w:rsidR="00D91A6A" w:rsidRPr="00090FE0">
        <w:rPr>
          <w:rFonts w:cstheme="minorHAnsi"/>
          <w:sz w:val="24"/>
          <w:szCs w:val="24"/>
        </w:rPr>
        <w:t>by supporters of the Prime Minister Tony Blair</w:t>
      </w:r>
      <w:r w:rsidR="00FC0CEC" w:rsidRPr="000A4BDC">
        <w:rPr>
          <w:rFonts w:cstheme="minorHAnsi"/>
          <w:sz w:val="24"/>
          <w:szCs w:val="24"/>
        </w:rPr>
        <w:t xml:space="preserve">, </w:t>
      </w:r>
      <w:r w:rsidRPr="000A4BDC">
        <w:rPr>
          <w:rFonts w:cstheme="minorHAnsi"/>
          <w:sz w:val="24"/>
          <w:szCs w:val="24"/>
        </w:rPr>
        <w:t>that keeping the middle classes inside the system, inclusivity was the answer to not only a majority Labour government but also an on-going attempt at social equity (Adonis, 2012</w:t>
      </w:r>
      <w:r w:rsidRPr="00090FE0">
        <w:rPr>
          <w:rFonts w:cstheme="minorHAnsi"/>
          <w:sz w:val="24"/>
          <w:szCs w:val="24"/>
        </w:rPr>
        <w:t xml:space="preserve">). </w:t>
      </w:r>
      <w:r w:rsidR="00FC0CEC" w:rsidRPr="00090FE0">
        <w:rPr>
          <w:rFonts w:cstheme="minorHAnsi"/>
          <w:sz w:val="24"/>
          <w:szCs w:val="24"/>
        </w:rPr>
        <w:t xml:space="preserve"> </w:t>
      </w:r>
      <w:r w:rsidR="00D91A6A" w:rsidRPr="00090FE0">
        <w:rPr>
          <w:rFonts w:cstheme="minorHAnsi"/>
          <w:sz w:val="24"/>
          <w:szCs w:val="24"/>
        </w:rPr>
        <w:t xml:space="preserve">Another example of government policy that attempted to tackle the lack of economic capital during Labour was </w:t>
      </w:r>
      <w:r w:rsidR="0072587A" w:rsidRPr="00090FE0">
        <w:rPr>
          <w:rFonts w:cstheme="minorHAnsi"/>
          <w:sz w:val="24"/>
          <w:szCs w:val="24"/>
        </w:rPr>
        <w:t>T</w:t>
      </w:r>
      <w:r w:rsidR="00D91A6A" w:rsidRPr="00090FE0">
        <w:rPr>
          <w:rFonts w:cstheme="minorHAnsi"/>
          <w:sz w:val="24"/>
          <w:szCs w:val="24"/>
        </w:rPr>
        <w:t xml:space="preserve">he Baby Bond (2000), a scheme aimed at providing parents with a £250 cash bond, doubled for lower income families, for every new-born child. This scheme was praised by many social justice campaigners as an example of what can be achieved to redress the balance if political will exists (JRF, 2010). </w:t>
      </w:r>
      <w:r w:rsidR="00872EE7" w:rsidRPr="00090FE0">
        <w:rPr>
          <w:rFonts w:cstheme="minorHAnsi"/>
          <w:sz w:val="24"/>
          <w:szCs w:val="24"/>
        </w:rPr>
        <w:t>T</w:t>
      </w:r>
      <w:r w:rsidR="00D91A6A" w:rsidRPr="00090FE0">
        <w:rPr>
          <w:rFonts w:cstheme="minorHAnsi"/>
          <w:sz w:val="24"/>
          <w:szCs w:val="24"/>
        </w:rPr>
        <w:t>he Baby Bond was phased out by the Coalition government in 2010, but if the individual sums involved in this policy were compared with two years boarding fees to do the IBDP in England of £64,000</w:t>
      </w:r>
      <w:r w:rsidR="00872EE7" w:rsidRPr="00090FE0">
        <w:rPr>
          <w:rFonts w:cstheme="minorHAnsi"/>
          <w:sz w:val="24"/>
          <w:szCs w:val="24"/>
        </w:rPr>
        <w:t xml:space="preserve"> (average for best 40 schools in the League Table,</w:t>
      </w:r>
      <w:r w:rsidR="00872EE7" w:rsidRPr="00090FE0">
        <w:t xml:space="preserve"> </w:t>
      </w:r>
      <w:r w:rsidR="00872EE7" w:rsidRPr="00090FE0">
        <w:rPr>
          <w:rFonts w:cstheme="minorHAnsi"/>
          <w:sz w:val="24"/>
          <w:szCs w:val="24"/>
        </w:rPr>
        <w:t>according to the website Best Schools)</w:t>
      </w:r>
      <w:r w:rsidR="00D91A6A" w:rsidRPr="00090FE0">
        <w:rPr>
          <w:rFonts w:cstheme="minorHAnsi"/>
          <w:sz w:val="24"/>
          <w:szCs w:val="24"/>
        </w:rPr>
        <w:t>, then the gap in lack of equity within the education system can clearly be seen.</w:t>
      </w:r>
      <w:r w:rsidRPr="000A4BDC">
        <w:rPr>
          <w:rFonts w:cstheme="minorHAnsi"/>
          <w:sz w:val="24"/>
          <w:szCs w:val="24"/>
        </w:rPr>
        <w:t xml:space="preserve"> </w:t>
      </w:r>
    </w:p>
    <w:p w14:paraId="28862BAB" w14:textId="083E8A84" w:rsidR="00655AC7" w:rsidRPr="000A4BDC" w:rsidRDefault="004D46E3" w:rsidP="00582590">
      <w:pPr>
        <w:spacing w:before="240" w:line="276" w:lineRule="auto"/>
        <w:jc w:val="both"/>
        <w:rPr>
          <w:rFonts w:cstheme="minorHAnsi"/>
          <w:sz w:val="24"/>
          <w:szCs w:val="24"/>
        </w:rPr>
      </w:pPr>
      <w:r w:rsidRPr="000A4BDC">
        <w:rPr>
          <w:rFonts w:cstheme="minorHAnsi"/>
          <w:sz w:val="24"/>
          <w:szCs w:val="24"/>
        </w:rPr>
        <w:t xml:space="preserve">The main issue at stake is to establish </w:t>
      </w:r>
      <w:r w:rsidR="0092347F" w:rsidRPr="000A4BDC">
        <w:rPr>
          <w:rFonts w:cstheme="minorHAnsi"/>
          <w:sz w:val="24"/>
          <w:szCs w:val="24"/>
        </w:rPr>
        <w:t>whether or not this form of ent</w:t>
      </w:r>
      <w:r w:rsidRPr="000A4BDC">
        <w:rPr>
          <w:rFonts w:cstheme="minorHAnsi"/>
          <w:sz w:val="24"/>
          <w:szCs w:val="24"/>
        </w:rPr>
        <w:t>renchment happens with the IB</w:t>
      </w:r>
      <w:r w:rsidR="0092347F" w:rsidRPr="000A4BDC">
        <w:rPr>
          <w:rFonts w:cstheme="minorHAnsi"/>
          <w:sz w:val="24"/>
          <w:szCs w:val="24"/>
        </w:rPr>
        <w:t>DP: do groups with high levels of capital successfully maintain the IBDP for themselves?</w:t>
      </w:r>
      <w:r w:rsidR="00090FE0" w:rsidRPr="00090FE0">
        <w:rPr>
          <w:rFonts w:cstheme="minorHAnsi"/>
          <w:sz w:val="24"/>
          <w:szCs w:val="24"/>
        </w:rPr>
        <w:t xml:space="preserve">  </w:t>
      </w:r>
      <w:r w:rsidR="00D91A6A" w:rsidRPr="00090FE0">
        <w:rPr>
          <w:rFonts w:cstheme="minorHAnsi"/>
          <w:sz w:val="24"/>
          <w:szCs w:val="24"/>
        </w:rPr>
        <w:t>In this context, it is possible to employ the term ‘elite’ group (Savage</w:t>
      </w:r>
      <w:r w:rsidR="001E0F49" w:rsidRPr="00090FE0">
        <w:rPr>
          <w:rFonts w:cstheme="minorHAnsi"/>
          <w:sz w:val="24"/>
          <w:szCs w:val="24"/>
        </w:rPr>
        <w:t xml:space="preserve"> </w:t>
      </w:r>
      <w:r w:rsidR="00F61732" w:rsidRPr="00090FE0">
        <w:rPr>
          <w:rFonts w:cstheme="minorHAnsi"/>
          <w:sz w:val="24"/>
          <w:szCs w:val="24"/>
        </w:rPr>
        <w:t>et al</w:t>
      </w:r>
      <w:r w:rsidR="00D91A6A" w:rsidRPr="00090FE0">
        <w:rPr>
          <w:rFonts w:cstheme="minorHAnsi"/>
          <w:sz w:val="24"/>
          <w:szCs w:val="24"/>
        </w:rPr>
        <w:t>, 2015 and Dorling, 2014 on the internal differentiation within this elite group) to illustrate the decline of opportunity for students in the state sector to take up the IBDP: only the ‘elite’ in society are able to access this educational provision, either through independent school fees or by accessing one of the few remaining, declining places where the IBDP remains on offer in the state sector.</w:t>
      </w:r>
    </w:p>
    <w:p w14:paraId="3E460F25" w14:textId="77777777" w:rsidR="00EE1DDB" w:rsidRPr="000A4BDC" w:rsidRDefault="00EE1DDB" w:rsidP="00582590">
      <w:pPr>
        <w:spacing w:line="276" w:lineRule="auto"/>
        <w:jc w:val="both"/>
        <w:rPr>
          <w:rFonts w:cstheme="minorHAnsi"/>
          <w:b/>
          <w:i/>
          <w:sz w:val="24"/>
          <w:szCs w:val="24"/>
        </w:rPr>
      </w:pPr>
      <w:r w:rsidRPr="000A4BDC">
        <w:rPr>
          <w:rFonts w:cstheme="minorHAnsi"/>
          <w:b/>
          <w:i/>
          <w:sz w:val="24"/>
          <w:szCs w:val="24"/>
        </w:rPr>
        <w:t>Study design and methodological considerations</w:t>
      </w:r>
      <w:r w:rsidR="000E2E01" w:rsidRPr="000A4BDC">
        <w:rPr>
          <w:rFonts w:cstheme="minorHAnsi"/>
          <w:b/>
          <w:i/>
          <w:sz w:val="24"/>
          <w:szCs w:val="24"/>
        </w:rPr>
        <w:t>.</w:t>
      </w:r>
    </w:p>
    <w:p w14:paraId="20BFD7FC" w14:textId="455BD2F5" w:rsidR="00CA5816" w:rsidRPr="00090FE0" w:rsidRDefault="00CA5816" w:rsidP="00D026CA">
      <w:pPr>
        <w:spacing w:line="276" w:lineRule="auto"/>
        <w:jc w:val="both"/>
        <w:rPr>
          <w:rFonts w:cstheme="minorHAnsi"/>
          <w:sz w:val="24"/>
          <w:szCs w:val="24"/>
        </w:rPr>
      </w:pPr>
      <w:r w:rsidRPr="00090FE0">
        <w:rPr>
          <w:rFonts w:cstheme="minorHAnsi"/>
          <w:sz w:val="24"/>
          <w:szCs w:val="24"/>
        </w:rPr>
        <w:t>T</w:t>
      </w:r>
      <w:r w:rsidR="007A0055" w:rsidRPr="00090FE0">
        <w:rPr>
          <w:rFonts w:cstheme="minorHAnsi"/>
          <w:sz w:val="24"/>
          <w:szCs w:val="24"/>
        </w:rPr>
        <w:t>his research focuses on the</w:t>
      </w:r>
      <w:r w:rsidRPr="00090FE0">
        <w:rPr>
          <w:rFonts w:cstheme="minorHAnsi"/>
          <w:sz w:val="24"/>
          <w:szCs w:val="24"/>
        </w:rPr>
        <w:t xml:space="preserve"> pressure</w:t>
      </w:r>
      <w:r w:rsidR="007A0055" w:rsidRPr="00090FE0">
        <w:rPr>
          <w:rFonts w:cstheme="minorHAnsi"/>
          <w:sz w:val="24"/>
          <w:szCs w:val="24"/>
        </w:rPr>
        <w:t>s facing Senior Leadership Team</w:t>
      </w:r>
      <w:r w:rsidR="00CA39CA" w:rsidRPr="00090FE0">
        <w:rPr>
          <w:rFonts w:cstheme="minorHAnsi"/>
          <w:sz w:val="24"/>
          <w:szCs w:val="24"/>
        </w:rPr>
        <w:t>s</w:t>
      </w:r>
      <w:r w:rsidR="007A0055" w:rsidRPr="00090FE0">
        <w:rPr>
          <w:rFonts w:cstheme="minorHAnsi"/>
          <w:sz w:val="24"/>
          <w:szCs w:val="24"/>
        </w:rPr>
        <w:t>, and in particular</w:t>
      </w:r>
      <w:r w:rsidRPr="00090FE0">
        <w:rPr>
          <w:rFonts w:cstheme="minorHAnsi"/>
          <w:sz w:val="24"/>
          <w:szCs w:val="24"/>
        </w:rPr>
        <w:t xml:space="preserve"> how they cope with the amount of change that continuall</w:t>
      </w:r>
      <w:r w:rsidR="007A0055" w:rsidRPr="00090FE0">
        <w:rPr>
          <w:rFonts w:cstheme="minorHAnsi"/>
          <w:sz w:val="24"/>
          <w:szCs w:val="24"/>
        </w:rPr>
        <w:t>y permeates through the education system in England</w:t>
      </w:r>
      <w:r w:rsidRPr="00090FE0">
        <w:rPr>
          <w:rFonts w:cstheme="minorHAnsi"/>
          <w:sz w:val="24"/>
          <w:szCs w:val="24"/>
        </w:rPr>
        <w:t>.  This one particular non-mandatory policy option</w:t>
      </w:r>
      <w:r w:rsidR="007A0055" w:rsidRPr="00090FE0">
        <w:rPr>
          <w:rFonts w:cstheme="minorHAnsi"/>
          <w:sz w:val="24"/>
          <w:szCs w:val="24"/>
        </w:rPr>
        <w:t xml:space="preserve"> relating to the IBDP</w:t>
      </w:r>
      <w:r w:rsidRPr="00090FE0">
        <w:rPr>
          <w:rFonts w:cstheme="minorHAnsi"/>
          <w:sz w:val="24"/>
          <w:szCs w:val="24"/>
        </w:rPr>
        <w:t xml:space="preserve"> has been studied at a time of much political, economic </w:t>
      </w:r>
      <w:r w:rsidR="00BD7100" w:rsidRPr="00090FE0">
        <w:rPr>
          <w:rFonts w:cstheme="minorHAnsi"/>
          <w:sz w:val="24"/>
          <w:szCs w:val="24"/>
        </w:rPr>
        <w:t xml:space="preserve">and </w:t>
      </w:r>
      <w:r w:rsidRPr="00090FE0">
        <w:rPr>
          <w:rFonts w:cstheme="minorHAnsi"/>
          <w:sz w:val="24"/>
          <w:szCs w:val="24"/>
        </w:rPr>
        <w:t>social change and migration.  The International Baccalaureate’s Diploma Programme has been adopted</w:t>
      </w:r>
      <w:r w:rsidR="007A0055" w:rsidRPr="00090FE0">
        <w:rPr>
          <w:rFonts w:cstheme="minorHAnsi"/>
          <w:sz w:val="24"/>
          <w:szCs w:val="24"/>
        </w:rPr>
        <w:t xml:space="preserve"> with a variety of motivations into many schools and colleges by their Senior</w:t>
      </w:r>
      <w:r w:rsidR="006F538B" w:rsidRPr="00090FE0">
        <w:rPr>
          <w:rFonts w:cstheme="minorHAnsi"/>
          <w:sz w:val="24"/>
          <w:szCs w:val="24"/>
        </w:rPr>
        <w:t xml:space="preserve"> Leadership</w:t>
      </w:r>
      <w:r w:rsidR="007A0055" w:rsidRPr="00090FE0">
        <w:rPr>
          <w:rFonts w:cstheme="minorHAnsi"/>
          <w:sz w:val="24"/>
          <w:szCs w:val="24"/>
        </w:rPr>
        <w:t xml:space="preserve"> Teams</w:t>
      </w:r>
      <w:r w:rsidR="006F538B" w:rsidRPr="00090FE0">
        <w:rPr>
          <w:rFonts w:cstheme="minorHAnsi"/>
          <w:sz w:val="24"/>
          <w:szCs w:val="24"/>
        </w:rPr>
        <w:t xml:space="preserve"> (SLT</w:t>
      </w:r>
      <w:r w:rsidR="00CA39CA" w:rsidRPr="00090FE0">
        <w:rPr>
          <w:rFonts w:cstheme="minorHAnsi"/>
          <w:sz w:val="24"/>
          <w:szCs w:val="24"/>
        </w:rPr>
        <w:t>s</w:t>
      </w:r>
      <w:r w:rsidR="006F538B" w:rsidRPr="00090FE0">
        <w:rPr>
          <w:rFonts w:cstheme="minorHAnsi"/>
          <w:sz w:val="24"/>
          <w:szCs w:val="24"/>
        </w:rPr>
        <w:t>)</w:t>
      </w:r>
      <w:r w:rsidRPr="00090FE0">
        <w:rPr>
          <w:rFonts w:cstheme="minorHAnsi"/>
          <w:sz w:val="24"/>
          <w:szCs w:val="24"/>
        </w:rPr>
        <w:t xml:space="preserve">, and this study explores its </w:t>
      </w:r>
      <w:r w:rsidR="00CA39CA" w:rsidRPr="00090FE0">
        <w:rPr>
          <w:rFonts w:cstheme="minorHAnsi"/>
          <w:sz w:val="24"/>
          <w:szCs w:val="24"/>
        </w:rPr>
        <w:t xml:space="preserve">curriculum usage </w:t>
      </w:r>
      <w:r w:rsidRPr="00090FE0">
        <w:rPr>
          <w:rFonts w:cstheme="minorHAnsi"/>
          <w:sz w:val="24"/>
          <w:szCs w:val="24"/>
        </w:rPr>
        <w:t xml:space="preserve"> </w:t>
      </w:r>
      <w:r w:rsidR="00CA39CA" w:rsidRPr="00090FE0">
        <w:rPr>
          <w:rFonts w:cstheme="minorHAnsi"/>
          <w:sz w:val="24"/>
          <w:szCs w:val="24"/>
        </w:rPr>
        <w:t xml:space="preserve">in </w:t>
      </w:r>
      <w:r w:rsidRPr="00090FE0">
        <w:rPr>
          <w:rFonts w:cstheme="minorHAnsi"/>
          <w:sz w:val="24"/>
          <w:szCs w:val="24"/>
        </w:rPr>
        <w:t xml:space="preserve">eight centres.  </w:t>
      </w:r>
      <w:r w:rsidR="007A0055" w:rsidRPr="00090FE0">
        <w:rPr>
          <w:rFonts w:cstheme="minorHAnsi"/>
          <w:sz w:val="24"/>
          <w:szCs w:val="24"/>
        </w:rPr>
        <w:t>S</w:t>
      </w:r>
      <w:r w:rsidR="00076D74" w:rsidRPr="00090FE0">
        <w:rPr>
          <w:rFonts w:cstheme="minorHAnsi"/>
          <w:sz w:val="24"/>
          <w:szCs w:val="24"/>
        </w:rPr>
        <w:t>enior</w:t>
      </w:r>
      <w:r w:rsidR="007A0055" w:rsidRPr="00090FE0">
        <w:rPr>
          <w:rFonts w:cstheme="minorHAnsi"/>
          <w:sz w:val="24"/>
          <w:szCs w:val="24"/>
        </w:rPr>
        <w:t xml:space="preserve"> </w:t>
      </w:r>
      <w:r w:rsidR="00CA39CA" w:rsidRPr="00090FE0">
        <w:rPr>
          <w:rFonts w:cstheme="minorHAnsi"/>
          <w:sz w:val="24"/>
          <w:szCs w:val="24"/>
        </w:rPr>
        <w:t xml:space="preserve">Leadership </w:t>
      </w:r>
      <w:r w:rsidR="007A0055" w:rsidRPr="00090FE0">
        <w:rPr>
          <w:rFonts w:cstheme="minorHAnsi"/>
          <w:sz w:val="24"/>
          <w:szCs w:val="24"/>
        </w:rPr>
        <w:t>Teams</w:t>
      </w:r>
      <w:r w:rsidRPr="00090FE0">
        <w:rPr>
          <w:rFonts w:cstheme="minorHAnsi"/>
          <w:sz w:val="24"/>
          <w:szCs w:val="24"/>
        </w:rPr>
        <w:t xml:space="preserve"> have to</w:t>
      </w:r>
      <w:r w:rsidR="007A0055" w:rsidRPr="00090FE0">
        <w:rPr>
          <w:rFonts w:cstheme="minorHAnsi"/>
          <w:sz w:val="24"/>
          <w:szCs w:val="24"/>
        </w:rPr>
        <w:t xml:space="preserve"> ensure that changes implemented in their centres are successful, in order to make them continually viable inside the</w:t>
      </w:r>
      <w:r w:rsidRPr="00090FE0">
        <w:rPr>
          <w:rFonts w:cstheme="minorHAnsi"/>
          <w:sz w:val="24"/>
          <w:szCs w:val="24"/>
        </w:rPr>
        <w:t xml:space="preserve"> market economy of choice and parental expectation</w:t>
      </w:r>
      <w:r w:rsidR="007A0055" w:rsidRPr="00090FE0">
        <w:rPr>
          <w:rFonts w:cstheme="minorHAnsi"/>
          <w:sz w:val="24"/>
          <w:szCs w:val="24"/>
        </w:rPr>
        <w:t xml:space="preserve"> that characterises the educational landscape in England as previously discussed</w:t>
      </w:r>
      <w:r w:rsidRPr="00090FE0">
        <w:rPr>
          <w:rFonts w:cstheme="minorHAnsi"/>
          <w:sz w:val="24"/>
          <w:szCs w:val="24"/>
        </w:rPr>
        <w:t>. Thus</w:t>
      </w:r>
      <w:r w:rsidR="007A0055" w:rsidRPr="00090FE0">
        <w:rPr>
          <w:rFonts w:cstheme="minorHAnsi"/>
          <w:sz w:val="24"/>
          <w:szCs w:val="24"/>
        </w:rPr>
        <w:t>,</w:t>
      </w:r>
      <w:r w:rsidRPr="00090FE0">
        <w:rPr>
          <w:rFonts w:cstheme="minorHAnsi"/>
          <w:sz w:val="24"/>
          <w:szCs w:val="24"/>
        </w:rPr>
        <w:t xml:space="preserve"> the aims that cut across the range of state and independent</w:t>
      </w:r>
      <w:r w:rsidR="007A0055" w:rsidRPr="00090FE0">
        <w:rPr>
          <w:rFonts w:cstheme="minorHAnsi"/>
          <w:sz w:val="24"/>
          <w:szCs w:val="24"/>
        </w:rPr>
        <w:t xml:space="preserve"> institutions in which</w:t>
      </w:r>
      <w:r w:rsidRPr="00090FE0">
        <w:rPr>
          <w:rFonts w:cstheme="minorHAnsi"/>
          <w:sz w:val="24"/>
          <w:szCs w:val="24"/>
        </w:rPr>
        <w:t xml:space="preserve"> this researc</w:t>
      </w:r>
      <w:r w:rsidR="007A0055" w:rsidRPr="00090FE0">
        <w:rPr>
          <w:rFonts w:cstheme="minorHAnsi"/>
          <w:sz w:val="24"/>
          <w:szCs w:val="24"/>
        </w:rPr>
        <w:t>h was carried out</w:t>
      </w:r>
      <w:r w:rsidRPr="00090FE0">
        <w:rPr>
          <w:rFonts w:cstheme="minorHAnsi"/>
          <w:sz w:val="24"/>
          <w:szCs w:val="24"/>
        </w:rPr>
        <w:t xml:space="preserve"> were to determine:</w:t>
      </w:r>
    </w:p>
    <w:p w14:paraId="3BC0DDD8" w14:textId="452E4BB1" w:rsidR="00CA5816" w:rsidRPr="00090FE0" w:rsidRDefault="00872EE7" w:rsidP="00D026CA">
      <w:pPr>
        <w:pStyle w:val="ListParagraph"/>
        <w:numPr>
          <w:ilvl w:val="0"/>
          <w:numId w:val="6"/>
        </w:numPr>
        <w:spacing w:line="240" w:lineRule="auto"/>
        <w:jc w:val="both"/>
        <w:rPr>
          <w:rFonts w:asciiTheme="minorHAnsi" w:hAnsiTheme="minorHAnsi" w:cstheme="minorHAnsi"/>
          <w:sz w:val="24"/>
          <w:szCs w:val="24"/>
        </w:rPr>
      </w:pPr>
      <w:r w:rsidRPr="00090FE0">
        <w:rPr>
          <w:rFonts w:cstheme="minorHAnsi"/>
          <w:sz w:val="24"/>
          <w:szCs w:val="24"/>
        </w:rPr>
        <w:t>W</w:t>
      </w:r>
      <w:r w:rsidR="00CA5816" w:rsidRPr="00090FE0">
        <w:rPr>
          <w:rFonts w:asciiTheme="minorHAnsi" w:hAnsiTheme="minorHAnsi" w:cstheme="minorHAnsi"/>
          <w:sz w:val="24"/>
          <w:szCs w:val="24"/>
        </w:rPr>
        <w:t>hy these</w:t>
      </w:r>
      <w:r w:rsidR="007A0055" w:rsidRPr="00090FE0">
        <w:rPr>
          <w:rFonts w:asciiTheme="minorHAnsi" w:hAnsiTheme="minorHAnsi" w:cstheme="minorHAnsi"/>
          <w:sz w:val="24"/>
          <w:szCs w:val="24"/>
        </w:rPr>
        <w:t xml:space="preserve"> Senior Leadership Teams</w:t>
      </w:r>
      <w:r w:rsidR="00CA5816" w:rsidRPr="00090FE0">
        <w:rPr>
          <w:rFonts w:asciiTheme="minorHAnsi" w:hAnsiTheme="minorHAnsi" w:cstheme="minorHAnsi"/>
          <w:sz w:val="24"/>
          <w:szCs w:val="24"/>
        </w:rPr>
        <w:t xml:space="preserve"> ma</w:t>
      </w:r>
      <w:r w:rsidR="00CA39CA" w:rsidRPr="00090FE0">
        <w:rPr>
          <w:rFonts w:asciiTheme="minorHAnsi" w:hAnsiTheme="minorHAnsi" w:cstheme="minorHAnsi"/>
          <w:sz w:val="24"/>
          <w:szCs w:val="24"/>
        </w:rPr>
        <w:t>d</w:t>
      </w:r>
      <w:r w:rsidR="00CA5816" w:rsidRPr="00090FE0">
        <w:rPr>
          <w:rFonts w:asciiTheme="minorHAnsi" w:hAnsiTheme="minorHAnsi" w:cstheme="minorHAnsi"/>
          <w:sz w:val="24"/>
          <w:szCs w:val="24"/>
        </w:rPr>
        <w:t>e the decision to implement non-mandatory policy?</w:t>
      </w:r>
    </w:p>
    <w:p w14:paraId="710B7445" w14:textId="02799EFE" w:rsidR="00CA5816" w:rsidRPr="00090FE0" w:rsidRDefault="00872EE7" w:rsidP="00CA5816">
      <w:pPr>
        <w:pStyle w:val="ListParagraph"/>
        <w:numPr>
          <w:ilvl w:val="0"/>
          <w:numId w:val="6"/>
        </w:numPr>
        <w:spacing w:line="240" w:lineRule="auto"/>
        <w:jc w:val="both"/>
        <w:rPr>
          <w:rFonts w:asciiTheme="minorHAnsi" w:hAnsiTheme="minorHAnsi" w:cstheme="minorHAnsi"/>
          <w:sz w:val="24"/>
          <w:szCs w:val="24"/>
        </w:rPr>
      </w:pPr>
      <w:r w:rsidRPr="00090FE0">
        <w:rPr>
          <w:rFonts w:asciiTheme="minorHAnsi" w:hAnsiTheme="minorHAnsi" w:cstheme="minorHAnsi"/>
          <w:sz w:val="24"/>
          <w:szCs w:val="24"/>
        </w:rPr>
        <w:t>H</w:t>
      </w:r>
      <w:r w:rsidR="00CA5816" w:rsidRPr="00090FE0">
        <w:rPr>
          <w:rFonts w:asciiTheme="minorHAnsi" w:hAnsiTheme="minorHAnsi" w:cstheme="minorHAnsi"/>
          <w:sz w:val="24"/>
          <w:szCs w:val="24"/>
        </w:rPr>
        <w:t>ow</w:t>
      </w:r>
      <w:r w:rsidRPr="00090FE0">
        <w:rPr>
          <w:rFonts w:asciiTheme="minorHAnsi" w:hAnsiTheme="minorHAnsi" w:cstheme="minorHAnsi"/>
          <w:sz w:val="24"/>
          <w:szCs w:val="24"/>
        </w:rPr>
        <w:t xml:space="preserve"> </w:t>
      </w:r>
      <w:r w:rsidR="007A0055" w:rsidRPr="00090FE0">
        <w:rPr>
          <w:rFonts w:asciiTheme="minorHAnsi" w:hAnsiTheme="minorHAnsi" w:cstheme="minorHAnsi"/>
          <w:sz w:val="24"/>
          <w:szCs w:val="24"/>
        </w:rPr>
        <w:t>do these Senior Leadership Teams</w:t>
      </w:r>
      <w:r w:rsidR="00CA5816" w:rsidRPr="00090FE0">
        <w:rPr>
          <w:rFonts w:asciiTheme="minorHAnsi" w:hAnsiTheme="minorHAnsi" w:cstheme="minorHAnsi"/>
          <w:sz w:val="24"/>
          <w:szCs w:val="24"/>
        </w:rPr>
        <w:t xml:space="preserve"> deal with the successes or failures that this can bring?</w:t>
      </w:r>
    </w:p>
    <w:p w14:paraId="5F785BDF" w14:textId="77777777" w:rsidR="00CA5816" w:rsidRPr="00090FE0" w:rsidRDefault="00CA5816" w:rsidP="00D026CA">
      <w:pPr>
        <w:pStyle w:val="ListParagraph"/>
        <w:numPr>
          <w:ilvl w:val="0"/>
          <w:numId w:val="6"/>
        </w:numPr>
        <w:spacing w:line="240" w:lineRule="auto"/>
        <w:jc w:val="both"/>
        <w:rPr>
          <w:rFonts w:cstheme="minorHAnsi"/>
          <w:sz w:val="24"/>
          <w:szCs w:val="24"/>
        </w:rPr>
      </w:pPr>
      <w:r w:rsidRPr="00090FE0">
        <w:rPr>
          <w:rFonts w:cstheme="minorHAnsi"/>
          <w:sz w:val="24"/>
          <w:szCs w:val="24"/>
        </w:rPr>
        <w:t>Why do they think it is beneficial? Why was it not? What went wrong? Why do they regard this as a learning curve for their SLT?</w:t>
      </w:r>
    </w:p>
    <w:p w14:paraId="12AAF6DD" w14:textId="2177D803" w:rsidR="00DA33E7" w:rsidRPr="00090FE0" w:rsidRDefault="00AF6619" w:rsidP="00D026CA">
      <w:pPr>
        <w:spacing w:line="276" w:lineRule="auto"/>
        <w:jc w:val="both"/>
        <w:rPr>
          <w:rFonts w:cstheme="minorHAnsi"/>
          <w:sz w:val="24"/>
          <w:szCs w:val="24"/>
          <w:highlight w:val="yellow"/>
        </w:rPr>
      </w:pPr>
      <w:r w:rsidRPr="00090FE0">
        <w:rPr>
          <w:rFonts w:cstheme="minorHAnsi"/>
          <w:sz w:val="24"/>
          <w:szCs w:val="24"/>
        </w:rPr>
        <w:lastRenderedPageBreak/>
        <w:t>These t</w:t>
      </w:r>
      <w:r w:rsidR="00872EE7" w:rsidRPr="00090FE0">
        <w:rPr>
          <w:rFonts w:cstheme="minorHAnsi"/>
          <w:sz w:val="24"/>
          <w:szCs w:val="24"/>
        </w:rPr>
        <w:t>hree</w:t>
      </w:r>
      <w:r w:rsidRPr="00090FE0">
        <w:rPr>
          <w:rFonts w:cstheme="minorHAnsi"/>
          <w:sz w:val="24"/>
          <w:szCs w:val="24"/>
        </w:rPr>
        <w:t xml:space="preserve"> research questions reflect the endeavour to collect qualitative information on how </w:t>
      </w:r>
      <w:r w:rsidR="00CA39CA" w:rsidRPr="00090FE0">
        <w:rPr>
          <w:rFonts w:cstheme="minorHAnsi"/>
          <w:sz w:val="24"/>
          <w:szCs w:val="24"/>
        </w:rPr>
        <w:t xml:space="preserve">these </w:t>
      </w:r>
      <w:r w:rsidRPr="00090FE0">
        <w:rPr>
          <w:rFonts w:cstheme="minorHAnsi"/>
          <w:sz w:val="24"/>
          <w:szCs w:val="24"/>
        </w:rPr>
        <w:t>senior leaders, in schools and colleges</w:t>
      </w:r>
      <w:r w:rsidR="00681B91" w:rsidRPr="00090FE0">
        <w:rPr>
          <w:rFonts w:cstheme="minorHAnsi"/>
          <w:sz w:val="24"/>
          <w:szCs w:val="24"/>
        </w:rPr>
        <w:t xml:space="preserve"> </w:t>
      </w:r>
      <w:r w:rsidRPr="00090FE0">
        <w:rPr>
          <w:rFonts w:cstheme="minorHAnsi"/>
          <w:sz w:val="24"/>
          <w:szCs w:val="24"/>
        </w:rPr>
        <w:t xml:space="preserve">in particular, </w:t>
      </w:r>
      <w:r w:rsidRPr="00090FE0">
        <w:rPr>
          <w:rFonts w:cstheme="minorHAnsi"/>
          <w:i/>
          <w:sz w:val="24"/>
          <w:szCs w:val="24"/>
        </w:rPr>
        <w:t>think</w:t>
      </w:r>
      <w:r w:rsidRPr="00090FE0">
        <w:rPr>
          <w:rFonts w:cstheme="minorHAnsi"/>
          <w:sz w:val="24"/>
          <w:szCs w:val="24"/>
        </w:rPr>
        <w:t xml:space="preserve"> and </w:t>
      </w:r>
      <w:r w:rsidRPr="00090FE0">
        <w:rPr>
          <w:rFonts w:cstheme="minorHAnsi"/>
          <w:i/>
          <w:sz w:val="24"/>
          <w:szCs w:val="24"/>
        </w:rPr>
        <w:t>feel</w:t>
      </w:r>
      <w:r w:rsidR="00872EE7" w:rsidRPr="00090FE0">
        <w:rPr>
          <w:rFonts w:cstheme="minorHAnsi"/>
          <w:i/>
          <w:sz w:val="24"/>
          <w:szCs w:val="24"/>
        </w:rPr>
        <w:t xml:space="preserve"> </w:t>
      </w:r>
      <w:r w:rsidR="00872EE7" w:rsidRPr="00090FE0">
        <w:rPr>
          <w:rFonts w:cstheme="minorHAnsi"/>
          <w:sz w:val="24"/>
          <w:szCs w:val="24"/>
        </w:rPr>
        <w:t xml:space="preserve">(Mayring, </w:t>
      </w:r>
      <w:r w:rsidR="00872EE7" w:rsidRPr="00090FE0">
        <w:rPr>
          <w:sz w:val="24"/>
          <w:szCs w:val="24"/>
        </w:rPr>
        <w:t>Glaser-Ziduka,</w:t>
      </w:r>
      <w:r w:rsidR="00872EE7" w:rsidRPr="00090FE0">
        <w:rPr>
          <w:rFonts w:cstheme="minorHAnsi"/>
          <w:sz w:val="24"/>
          <w:szCs w:val="24"/>
        </w:rPr>
        <w:t xml:space="preserve"> 2003)</w:t>
      </w:r>
      <w:r w:rsidRPr="00090FE0">
        <w:rPr>
          <w:rFonts w:cstheme="minorHAnsi"/>
          <w:sz w:val="24"/>
          <w:szCs w:val="24"/>
        </w:rPr>
        <w:t>.  This research process is trying to measure or gauge something that cannot be looked at again in exactly the same way, as it was a response given by leaders to a particular choice of non-mandatory policy implementation, during a specific time frame from 2010-2015.  Its significance resides in revealing a di</w:t>
      </w:r>
      <w:r w:rsidR="00603820" w:rsidRPr="00090FE0">
        <w:rPr>
          <w:rFonts w:cstheme="minorHAnsi"/>
          <w:sz w:val="24"/>
          <w:szCs w:val="24"/>
        </w:rPr>
        <w:t>fference between the</w:t>
      </w:r>
      <w:r w:rsidRPr="00090FE0">
        <w:rPr>
          <w:rFonts w:cstheme="minorHAnsi"/>
          <w:sz w:val="24"/>
          <w:szCs w:val="24"/>
        </w:rPr>
        <w:t xml:space="preserve"> choice</w:t>
      </w:r>
      <w:r w:rsidR="00603820" w:rsidRPr="00090FE0">
        <w:rPr>
          <w:rFonts w:cstheme="minorHAnsi"/>
          <w:sz w:val="24"/>
          <w:szCs w:val="24"/>
        </w:rPr>
        <w:t xml:space="preserve"> of curriculum</w:t>
      </w:r>
      <w:r w:rsidRPr="00090FE0">
        <w:rPr>
          <w:rFonts w:cstheme="minorHAnsi"/>
          <w:sz w:val="24"/>
          <w:szCs w:val="24"/>
        </w:rPr>
        <w:t xml:space="preserve"> on offer to class groups that continues to permeate through the education system.  </w:t>
      </w:r>
      <w:r w:rsidR="00603820" w:rsidRPr="00090FE0">
        <w:rPr>
          <w:rFonts w:cstheme="minorHAnsi"/>
          <w:sz w:val="24"/>
          <w:szCs w:val="24"/>
        </w:rPr>
        <w:t>These differences have a bearing on access to university</w:t>
      </w:r>
      <w:r w:rsidR="00CA39CA" w:rsidRPr="00090FE0">
        <w:rPr>
          <w:rFonts w:cstheme="minorHAnsi"/>
          <w:sz w:val="24"/>
          <w:szCs w:val="24"/>
        </w:rPr>
        <w:t>, particularly for brighter students who do</w:t>
      </w:r>
      <w:r w:rsidR="00DA33E7" w:rsidRPr="00090FE0">
        <w:rPr>
          <w:rFonts w:cstheme="minorHAnsi"/>
          <w:sz w:val="24"/>
          <w:szCs w:val="24"/>
        </w:rPr>
        <w:t xml:space="preserve"> </w:t>
      </w:r>
      <w:r w:rsidR="00CA39CA" w:rsidRPr="00090FE0">
        <w:rPr>
          <w:rFonts w:cstheme="minorHAnsi"/>
          <w:sz w:val="24"/>
          <w:szCs w:val="24"/>
        </w:rPr>
        <w:t>n</w:t>
      </w:r>
      <w:r w:rsidR="00DA33E7" w:rsidRPr="00090FE0">
        <w:rPr>
          <w:rFonts w:cstheme="minorHAnsi"/>
          <w:sz w:val="24"/>
          <w:szCs w:val="24"/>
        </w:rPr>
        <w:t>o</w:t>
      </w:r>
      <w:r w:rsidR="00CA39CA" w:rsidRPr="00090FE0">
        <w:rPr>
          <w:rFonts w:cstheme="minorHAnsi"/>
          <w:sz w:val="24"/>
          <w:szCs w:val="24"/>
        </w:rPr>
        <w:t>t know what they w</w:t>
      </w:r>
      <w:r w:rsidR="00DA33E7" w:rsidRPr="00090FE0">
        <w:rPr>
          <w:rFonts w:cstheme="minorHAnsi"/>
          <w:sz w:val="24"/>
          <w:szCs w:val="24"/>
        </w:rPr>
        <w:t>an</w:t>
      </w:r>
      <w:r w:rsidR="00CA39CA" w:rsidRPr="00090FE0">
        <w:rPr>
          <w:rFonts w:cstheme="minorHAnsi"/>
          <w:sz w:val="24"/>
          <w:szCs w:val="24"/>
        </w:rPr>
        <w:t xml:space="preserve">t to </w:t>
      </w:r>
      <w:r w:rsidR="00DA33E7" w:rsidRPr="00090FE0">
        <w:rPr>
          <w:rFonts w:cstheme="minorHAnsi"/>
          <w:sz w:val="24"/>
          <w:szCs w:val="24"/>
        </w:rPr>
        <w:t>study or do for their careers, as it narrows their choices at 16, rather than 18.</w:t>
      </w:r>
      <w:r w:rsidR="00DA33E7" w:rsidRPr="00090FE0">
        <w:rPr>
          <w:rFonts w:cstheme="minorHAnsi"/>
          <w:sz w:val="24"/>
          <w:szCs w:val="24"/>
          <w:highlight w:val="yellow"/>
        </w:rPr>
        <w:t xml:space="preserve">  </w:t>
      </w:r>
      <w:r w:rsidR="00603820" w:rsidRPr="00090FE0">
        <w:rPr>
          <w:rFonts w:cstheme="minorHAnsi"/>
          <w:sz w:val="24"/>
          <w:szCs w:val="24"/>
          <w:highlight w:val="yellow"/>
        </w:rPr>
        <w:t xml:space="preserve">  </w:t>
      </w:r>
    </w:p>
    <w:p w14:paraId="4E740D9B" w14:textId="0DA6C1A3" w:rsidR="00872EE7" w:rsidRPr="00090FE0" w:rsidRDefault="00603820" w:rsidP="00D026CA">
      <w:pPr>
        <w:spacing w:line="276" w:lineRule="auto"/>
        <w:jc w:val="both"/>
        <w:rPr>
          <w:rFonts w:cstheme="minorHAnsi"/>
          <w:sz w:val="24"/>
          <w:szCs w:val="24"/>
        </w:rPr>
      </w:pPr>
      <w:r w:rsidRPr="00090FE0">
        <w:rPr>
          <w:rFonts w:cstheme="minorHAnsi"/>
          <w:sz w:val="24"/>
          <w:szCs w:val="24"/>
        </w:rPr>
        <w:t>In terms of generalisability (Silverman, 2011), although only four state centres and four independent centres have been visited for the purposes of this research process, the viewpoints in both sectors were so markedly different to one another that it becomes possible to generalise the findings to their respective wider sectors.  However, given the research strategy used, and the paradigm chosen this would clearly need to be replicated on a larger scale for the viewpoints emerged to be confirmed. As Miles et al (2014) argue:</w:t>
      </w:r>
    </w:p>
    <w:p w14:paraId="3529356C" w14:textId="77777777" w:rsidR="00603820" w:rsidRPr="00D026CA" w:rsidRDefault="00603820" w:rsidP="00D026CA">
      <w:pPr>
        <w:spacing w:line="276" w:lineRule="auto"/>
        <w:jc w:val="both"/>
        <w:rPr>
          <w:rFonts w:cstheme="minorHAnsi"/>
          <w:sz w:val="24"/>
          <w:szCs w:val="24"/>
          <w:highlight w:val="yellow"/>
        </w:rPr>
      </w:pPr>
    </w:p>
    <w:p w14:paraId="08F33E17" w14:textId="77777777" w:rsidR="00603820" w:rsidRPr="00090FE0" w:rsidRDefault="00603820" w:rsidP="00090FE0">
      <w:pPr>
        <w:ind w:left="720" w:right="656"/>
        <w:jc w:val="both"/>
        <w:rPr>
          <w:rFonts w:cstheme="minorHAnsi"/>
          <w:sz w:val="24"/>
          <w:szCs w:val="24"/>
        </w:rPr>
      </w:pPr>
      <w:r w:rsidRPr="00090FE0">
        <w:rPr>
          <w:rFonts w:cstheme="minorHAnsi"/>
          <w:sz w:val="24"/>
          <w:szCs w:val="24"/>
        </w:rPr>
        <w:t xml:space="preserve">Multiple-case sampling adds </w:t>
      </w:r>
      <w:r w:rsidRPr="00090FE0">
        <w:rPr>
          <w:rFonts w:cstheme="minorHAnsi"/>
          <w:i/>
          <w:sz w:val="24"/>
          <w:szCs w:val="24"/>
        </w:rPr>
        <w:t>confidence</w:t>
      </w:r>
      <w:r w:rsidRPr="00090FE0">
        <w:rPr>
          <w:rFonts w:cstheme="minorHAnsi"/>
          <w:sz w:val="24"/>
          <w:szCs w:val="24"/>
        </w:rPr>
        <w:t xml:space="preserve"> to findings.  By looking at a range of similar and contrasting cases we can understand a single-case finding grounding it by specifying </w:t>
      </w:r>
      <w:r w:rsidRPr="00090FE0">
        <w:rPr>
          <w:rFonts w:cstheme="minorHAnsi"/>
          <w:i/>
          <w:sz w:val="24"/>
          <w:szCs w:val="24"/>
        </w:rPr>
        <w:t xml:space="preserve">how </w:t>
      </w:r>
      <w:r w:rsidRPr="00090FE0">
        <w:rPr>
          <w:rFonts w:cstheme="minorHAnsi"/>
          <w:sz w:val="24"/>
          <w:szCs w:val="24"/>
        </w:rPr>
        <w:t xml:space="preserve">and </w:t>
      </w:r>
      <w:r w:rsidRPr="00090FE0">
        <w:rPr>
          <w:rFonts w:cstheme="minorHAnsi"/>
          <w:i/>
          <w:sz w:val="24"/>
          <w:szCs w:val="24"/>
        </w:rPr>
        <w:t>where</w:t>
      </w:r>
      <w:r w:rsidRPr="00090FE0">
        <w:rPr>
          <w:rFonts w:cstheme="minorHAnsi"/>
          <w:sz w:val="24"/>
          <w:szCs w:val="24"/>
        </w:rPr>
        <w:t xml:space="preserve"> and, if possible, </w:t>
      </w:r>
      <w:r w:rsidRPr="00090FE0">
        <w:rPr>
          <w:rFonts w:cstheme="minorHAnsi"/>
          <w:i/>
          <w:sz w:val="24"/>
          <w:szCs w:val="24"/>
        </w:rPr>
        <w:t>why</w:t>
      </w:r>
      <w:r w:rsidRPr="00090FE0">
        <w:rPr>
          <w:rFonts w:cstheme="minorHAnsi"/>
          <w:sz w:val="24"/>
          <w:szCs w:val="24"/>
        </w:rPr>
        <w:t xml:space="preserve"> it carries on as it does.  We can strengthen the precision, validity, stability, and trustworthiness of the findings.  In other words we are following a r</w:t>
      </w:r>
      <w:r w:rsidRPr="00090FE0">
        <w:rPr>
          <w:rFonts w:cstheme="minorHAnsi"/>
          <w:i/>
          <w:sz w:val="24"/>
          <w:szCs w:val="24"/>
        </w:rPr>
        <w:t>eplication</w:t>
      </w:r>
      <w:r w:rsidRPr="00090FE0">
        <w:rPr>
          <w:rFonts w:cstheme="minorHAnsi"/>
          <w:sz w:val="24"/>
          <w:szCs w:val="24"/>
        </w:rPr>
        <w:t xml:space="preserve"> strategy (Yin, 2009).  If a finding holds in one setting, and given its profile, also holds in a comparable setting but does not in a contrasting setting, the finding is more robust. </w:t>
      </w:r>
    </w:p>
    <w:p w14:paraId="76A1A143" w14:textId="3655171B" w:rsidR="00CA5816" w:rsidRPr="00D026CA" w:rsidRDefault="00603820" w:rsidP="00090FE0">
      <w:pPr>
        <w:ind w:left="720" w:right="656"/>
        <w:jc w:val="right"/>
        <w:rPr>
          <w:rFonts w:cstheme="minorHAnsi"/>
          <w:sz w:val="24"/>
          <w:szCs w:val="24"/>
        </w:rPr>
      </w:pPr>
      <w:r w:rsidRPr="00090FE0">
        <w:rPr>
          <w:rFonts w:cstheme="minorHAnsi"/>
          <w:sz w:val="24"/>
          <w:szCs w:val="24"/>
        </w:rPr>
        <w:t>Miles et al, 2014: 33-34.</w:t>
      </w:r>
    </w:p>
    <w:p w14:paraId="31B48E49" w14:textId="77777777" w:rsidR="00331D28" w:rsidRPr="000A4BDC" w:rsidRDefault="00331D28" w:rsidP="00582590">
      <w:pPr>
        <w:pStyle w:val="ListParagraph"/>
        <w:ind w:left="0"/>
        <w:jc w:val="both"/>
        <w:rPr>
          <w:rFonts w:asciiTheme="minorHAnsi" w:hAnsiTheme="minorHAnsi" w:cstheme="minorHAnsi"/>
          <w:sz w:val="24"/>
          <w:szCs w:val="24"/>
        </w:rPr>
      </w:pPr>
      <w:r w:rsidRPr="000A4BDC">
        <w:rPr>
          <w:rFonts w:asciiTheme="minorHAnsi" w:hAnsiTheme="minorHAnsi" w:cstheme="minorHAnsi"/>
          <w:sz w:val="24"/>
          <w:szCs w:val="24"/>
        </w:rPr>
        <w:t>The data collected for this paper is</w:t>
      </w:r>
      <w:r w:rsidRPr="000A4BDC">
        <w:rPr>
          <w:rFonts w:asciiTheme="minorHAnsi" w:hAnsiTheme="minorHAnsi" w:cstheme="minorHAnsi"/>
          <w:sz w:val="24"/>
          <w:szCs w:val="24"/>
          <w:lang w:val="en-GB"/>
        </w:rPr>
        <w:t xml:space="preserve"> organised</w:t>
      </w:r>
      <w:r w:rsidRPr="000A4BDC">
        <w:rPr>
          <w:rFonts w:asciiTheme="minorHAnsi" w:hAnsiTheme="minorHAnsi" w:cstheme="minorHAnsi"/>
          <w:sz w:val="24"/>
          <w:szCs w:val="24"/>
        </w:rPr>
        <w:t xml:space="preserve"> primarily around a qualitative research method that relies on an adapted version of</w:t>
      </w:r>
      <w:r w:rsidRPr="000A4BDC">
        <w:rPr>
          <w:rFonts w:asciiTheme="minorHAnsi" w:hAnsiTheme="minorHAnsi" w:cstheme="minorHAnsi"/>
          <w:sz w:val="24"/>
          <w:szCs w:val="24"/>
          <w:lang w:val="en-GB"/>
        </w:rPr>
        <w:t xml:space="preserve"> Mayring’s</w:t>
      </w:r>
      <w:r w:rsidRPr="000A4BDC">
        <w:rPr>
          <w:rFonts w:asciiTheme="minorHAnsi" w:hAnsiTheme="minorHAnsi" w:cstheme="minorHAnsi"/>
          <w:sz w:val="24"/>
          <w:szCs w:val="24"/>
        </w:rPr>
        <w:t xml:space="preserve"> (2000) inductive category formation model.  Essentially, this involves a mixed approach to collecting and handling data.  Learning and social contexts are very closely entwined, and the impact of </w:t>
      </w:r>
      <w:r w:rsidRPr="000A4BDC">
        <w:rPr>
          <w:rFonts w:asciiTheme="minorHAnsi" w:hAnsiTheme="minorHAnsi" w:cstheme="minorHAnsi"/>
          <w:sz w:val="24"/>
          <w:szCs w:val="24"/>
          <w:lang w:val="en-GB"/>
        </w:rPr>
        <w:t>‘globalisation</w:t>
      </w:r>
      <w:r w:rsidRPr="000A4BDC">
        <w:rPr>
          <w:rFonts w:asciiTheme="minorHAnsi" w:hAnsiTheme="minorHAnsi" w:cstheme="minorHAnsi"/>
          <w:sz w:val="24"/>
          <w:szCs w:val="24"/>
        </w:rPr>
        <w:t>’, ‘transition’ to HE, and the on-set of mass-change in the education system</w:t>
      </w:r>
      <w:r w:rsidR="00BF6EE9" w:rsidRPr="000A4BDC">
        <w:rPr>
          <w:rFonts w:asciiTheme="minorHAnsi" w:hAnsiTheme="minorHAnsi" w:cstheme="minorHAnsi"/>
          <w:sz w:val="24"/>
          <w:szCs w:val="24"/>
        </w:rPr>
        <w:t xml:space="preserve"> </w:t>
      </w:r>
      <w:r w:rsidRPr="000A4BDC">
        <w:rPr>
          <w:rFonts w:asciiTheme="minorHAnsi" w:hAnsiTheme="minorHAnsi" w:cstheme="minorHAnsi"/>
          <w:sz w:val="24"/>
          <w:szCs w:val="24"/>
        </w:rPr>
        <w:t xml:space="preserve">meant that Senior Leadership Teams experienced very tough choices on curriculum development and the introduction of non-mandatory policy (Dorey, 2014).  </w:t>
      </w:r>
      <w:r w:rsidR="002E53E6" w:rsidRPr="000A4BDC">
        <w:rPr>
          <w:rFonts w:asciiTheme="minorHAnsi" w:hAnsiTheme="minorHAnsi" w:cstheme="minorHAnsi"/>
          <w:sz w:val="24"/>
          <w:szCs w:val="24"/>
        </w:rPr>
        <w:t>Mayring’s (</w:t>
      </w:r>
      <w:r w:rsidRPr="000A4BDC">
        <w:rPr>
          <w:rFonts w:asciiTheme="minorHAnsi" w:hAnsiTheme="minorHAnsi" w:cstheme="minorHAnsi"/>
          <w:sz w:val="24"/>
          <w:szCs w:val="24"/>
        </w:rPr>
        <w:t>2007) system of coding produces an argumentative gene</w:t>
      </w:r>
      <w:r w:rsidR="00E11FC8" w:rsidRPr="000A4BDC">
        <w:rPr>
          <w:rFonts w:asciiTheme="minorHAnsi" w:hAnsiTheme="minorHAnsi" w:cstheme="minorHAnsi"/>
          <w:sz w:val="24"/>
          <w:szCs w:val="24"/>
        </w:rPr>
        <w:t>ralisation in the process of</w:t>
      </w:r>
      <w:r w:rsidRPr="000A4BDC">
        <w:rPr>
          <w:rFonts w:asciiTheme="minorHAnsi" w:hAnsiTheme="minorHAnsi" w:cstheme="minorHAnsi"/>
          <w:sz w:val="24"/>
          <w:szCs w:val="24"/>
        </w:rPr>
        <w:t xml:space="preserve"> </w:t>
      </w:r>
      <w:r w:rsidR="00E11FC8" w:rsidRPr="000A4BDC">
        <w:rPr>
          <w:rFonts w:asciiTheme="minorHAnsi" w:hAnsiTheme="minorHAnsi" w:cstheme="minorHAnsi"/>
          <w:sz w:val="24"/>
          <w:szCs w:val="24"/>
        </w:rPr>
        <w:t xml:space="preserve">data collection. </w:t>
      </w:r>
      <w:r w:rsidRPr="000A4BDC">
        <w:rPr>
          <w:rFonts w:asciiTheme="minorHAnsi" w:hAnsiTheme="minorHAnsi" w:cstheme="minorHAnsi"/>
          <w:sz w:val="24"/>
          <w:szCs w:val="24"/>
        </w:rPr>
        <w:t>This method used a semi-structured, open-ended interview study eventually involving 28 respondents from eight schools and colleges, centring on eight</w:t>
      </w:r>
      <w:r w:rsidR="001928BA" w:rsidRPr="000A4BDC">
        <w:rPr>
          <w:rFonts w:asciiTheme="minorHAnsi" w:hAnsiTheme="minorHAnsi" w:cstheme="minorHAnsi"/>
          <w:sz w:val="24"/>
          <w:szCs w:val="24"/>
        </w:rPr>
        <w:t xml:space="preserve"> open questions, as listed</w:t>
      </w:r>
      <w:r w:rsidRPr="000A4BDC">
        <w:rPr>
          <w:rFonts w:asciiTheme="minorHAnsi" w:hAnsiTheme="minorHAnsi" w:cstheme="minorHAnsi"/>
          <w:sz w:val="24"/>
          <w:szCs w:val="24"/>
        </w:rPr>
        <w:t xml:space="preserve"> in Table 1. This, then, is a type of inductive theory development where coding of statements leads to considerations of clustering and categorising of views and experiences in order to allow further iterative analysis and interpretation. In this particular application of the Mayring model of content</w:t>
      </w:r>
      <w:r w:rsidR="001928BA" w:rsidRPr="000A4BDC">
        <w:rPr>
          <w:rFonts w:asciiTheme="minorHAnsi" w:hAnsiTheme="minorHAnsi" w:cstheme="minorHAnsi"/>
          <w:sz w:val="24"/>
          <w:szCs w:val="24"/>
        </w:rPr>
        <w:t>,</w:t>
      </w:r>
      <w:r w:rsidRPr="000A4BDC">
        <w:rPr>
          <w:rFonts w:asciiTheme="minorHAnsi" w:hAnsiTheme="minorHAnsi" w:cstheme="minorHAnsi"/>
          <w:sz w:val="24"/>
          <w:szCs w:val="24"/>
        </w:rPr>
        <w:t xml:space="preserve"> analysis is via successive coding which has therefore enabled the qualitative data collected by the interviews to generate valid generalisations around their experiences on the introduction </w:t>
      </w:r>
      <w:r w:rsidRPr="000A4BDC">
        <w:rPr>
          <w:rFonts w:asciiTheme="minorHAnsi" w:hAnsiTheme="minorHAnsi" w:cstheme="minorHAnsi"/>
          <w:sz w:val="24"/>
          <w:szCs w:val="24"/>
        </w:rPr>
        <w:lastRenderedPageBreak/>
        <w:t xml:space="preserve">of non-mandatory policy, in this case their </w:t>
      </w:r>
      <w:r w:rsidR="00A3436D" w:rsidRPr="000A4BDC">
        <w:rPr>
          <w:rFonts w:asciiTheme="minorHAnsi" w:hAnsiTheme="minorHAnsi" w:cstheme="minorHAnsi"/>
          <w:sz w:val="24"/>
          <w:szCs w:val="24"/>
        </w:rPr>
        <w:t>reasoning to implement the IB</w:t>
      </w:r>
      <w:r w:rsidRPr="000A4BDC">
        <w:rPr>
          <w:rFonts w:asciiTheme="minorHAnsi" w:hAnsiTheme="minorHAnsi" w:cstheme="minorHAnsi"/>
          <w:sz w:val="24"/>
          <w:szCs w:val="24"/>
        </w:rPr>
        <w:t xml:space="preserve">DP, and how they felt when (in two of the centres) it was subsequently withdrawn. </w:t>
      </w:r>
    </w:p>
    <w:p w14:paraId="76C3659A" w14:textId="515F35D3" w:rsidR="00331D28" w:rsidRPr="000A4BDC" w:rsidRDefault="00331D28" w:rsidP="00582590">
      <w:pPr>
        <w:pStyle w:val="Caption"/>
        <w:spacing w:line="276" w:lineRule="auto"/>
        <w:ind w:left="851" w:hanging="284"/>
        <w:jc w:val="both"/>
        <w:rPr>
          <w:rFonts w:asciiTheme="minorHAnsi" w:hAnsiTheme="minorHAnsi" w:cstheme="minorHAnsi"/>
          <w:b w:val="0"/>
          <w:bCs w:val="0"/>
          <w:color w:val="auto"/>
          <w:sz w:val="24"/>
          <w:szCs w:val="24"/>
          <w:u w:val="single"/>
        </w:rPr>
      </w:pPr>
      <w:bookmarkStart w:id="3" w:name="_Toc450075011"/>
      <w:r w:rsidRPr="000A4BDC">
        <w:rPr>
          <w:rFonts w:asciiTheme="minorHAnsi" w:hAnsiTheme="minorHAnsi" w:cstheme="minorHAnsi"/>
          <w:color w:val="auto"/>
          <w:sz w:val="24"/>
          <w:szCs w:val="24"/>
        </w:rPr>
        <w:t xml:space="preserve">Open ended interview schedule </w:t>
      </w:r>
      <w:bookmarkEnd w:id="3"/>
    </w:p>
    <w:p w14:paraId="411DB20B" w14:textId="77777777" w:rsidR="00331D28" w:rsidRPr="000A4BDC" w:rsidRDefault="00331D28" w:rsidP="00582590">
      <w:pPr>
        <w:pStyle w:val="ListParagraph"/>
        <w:numPr>
          <w:ilvl w:val="0"/>
          <w:numId w:val="2"/>
        </w:numPr>
        <w:ind w:left="851" w:hanging="284"/>
        <w:jc w:val="both"/>
        <w:rPr>
          <w:rFonts w:asciiTheme="minorHAnsi" w:hAnsiTheme="minorHAnsi" w:cstheme="minorHAnsi"/>
          <w:sz w:val="24"/>
          <w:szCs w:val="24"/>
        </w:rPr>
      </w:pPr>
      <w:r w:rsidRPr="000A4BDC">
        <w:rPr>
          <w:rFonts w:asciiTheme="minorHAnsi" w:hAnsiTheme="minorHAnsi" w:cstheme="minorHAnsi"/>
          <w:sz w:val="24"/>
          <w:szCs w:val="24"/>
        </w:rPr>
        <w:t>Why did you choose to introduce the IB into your centre?</w:t>
      </w:r>
    </w:p>
    <w:p w14:paraId="2B441575" w14:textId="77777777" w:rsidR="00331D28" w:rsidRPr="000A4BDC" w:rsidRDefault="00331D28" w:rsidP="00582590">
      <w:pPr>
        <w:pStyle w:val="ListParagraph"/>
        <w:numPr>
          <w:ilvl w:val="0"/>
          <w:numId w:val="2"/>
        </w:numPr>
        <w:ind w:left="851" w:hanging="284"/>
        <w:jc w:val="both"/>
        <w:rPr>
          <w:rFonts w:asciiTheme="minorHAnsi" w:hAnsiTheme="minorHAnsi" w:cstheme="minorHAnsi"/>
          <w:sz w:val="24"/>
          <w:szCs w:val="24"/>
        </w:rPr>
      </w:pPr>
      <w:r w:rsidRPr="000A4BDC">
        <w:rPr>
          <w:rFonts w:asciiTheme="minorHAnsi" w:hAnsiTheme="minorHAnsi" w:cstheme="minorHAnsi"/>
          <w:sz w:val="24"/>
          <w:szCs w:val="24"/>
        </w:rPr>
        <w:t>What were the specific cha</w:t>
      </w:r>
      <w:r w:rsidR="00E11FC8" w:rsidRPr="000A4BDC">
        <w:rPr>
          <w:rFonts w:asciiTheme="minorHAnsi" w:hAnsiTheme="minorHAnsi" w:cstheme="minorHAnsi"/>
          <w:sz w:val="24"/>
          <w:szCs w:val="24"/>
        </w:rPr>
        <w:t>llenges of introducing the IB</w:t>
      </w:r>
      <w:r w:rsidRPr="000A4BDC">
        <w:rPr>
          <w:rFonts w:asciiTheme="minorHAnsi" w:hAnsiTheme="minorHAnsi" w:cstheme="minorHAnsi"/>
          <w:sz w:val="24"/>
          <w:szCs w:val="24"/>
        </w:rPr>
        <w:t>DP here?</w:t>
      </w:r>
    </w:p>
    <w:p w14:paraId="6DF7EB97" w14:textId="77777777" w:rsidR="00331D28" w:rsidRPr="000A4BDC" w:rsidRDefault="00331D28" w:rsidP="00582590">
      <w:pPr>
        <w:pStyle w:val="ListParagraph"/>
        <w:numPr>
          <w:ilvl w:val="0"/>
          <w:numId w:val="2"/>
        </w:numPr>
        <w:ind w:left="851" w:hanging="284"/>
        <w:jc w:val="both"/>
        <w:rPr>
          <w:rFonts w:asciiTheme="minorHAnsi" w:hAnsiTheme="minorHAnsi" w:cstheme="minorHAnsi"/>
          <w:sz w:val="24"/>
          <w:szCs w:val="24"/>
        </w:rPr>
      </w:pPr>
      <w:r w:rsidRPr="000A4BDC">
        <w:rPr>
          <w:rFonts w:asciiTheme="minorHAnsi" w:hAnsiTheme="minorHAnsi" w:cstheme="minorHAnsi"/>
          <w:sz w:val="24"/>
          <w:szCs w:val="24"/>
        </w:rPr>
        <w:t xml:space="preserve">What have </w:t>
      </w:r>
      <w:r w:rsidR="00E11FC8" w:rsidRPr="000A4BDC">
        <w:rPr>
          <w:rFonts w:asciiTheme="minorHAnsi" w:hAnsiTheme="minorHAnsi" w:cstheme="minorHAnsi"/>
          <w:sz w:val="24"/>
          <w:szCs w:val="24"/>
        </w:rPr>
        <w:t>you learnt from having the IB</w:t>
      </w:r>
      <w:r w:rsidRPr="000A4BDC">
        <w:rPr>
          <w:rFonts w:asciiTheme="minorHAnsi" w:hAnsiTheme="minorHAnsi" w:cstheme="minorHAnsi"/>
          <w:sz w:val="24"/>
          <w:szCs w:val="24"/>
        </w:rPr>
        <w:t>DP on the curriculum here?</w:t>
      </w:r>
    </w:p>
    <w:p w14:paraId="5B15E1A3" w14:textId="77777777" w:rsidR="00331D28" w:rsidRPr="000A4BDC" w:rsidRDefault="00331D28" w:rsidP="00582590">
      <w:pPr>
        <w:pStyle w:val="ListParagraph"/>
        <w:numPr>
          <w:ilvl w:val="0"/>
          <w:numId w:val="2"/>
        </w:numPr>
        <w:ind w:left="851" w:hanging="284"/>
        <w:jc w:val="both"/>
        <w:rPr>
          <w:rFonts w:asciiTheme="minorHAnsi" w:hAnsiTheme="minorHAnsi" w:cstheme="minorHAnsi"/>
          <w:sz w:val="24"/>
          <w:szCs w:val="24"/>
        </w:rPr>
      </w:pPr>
      <w:r w:rsidRPr="000A4BDC">
        <w:rPr>
          <w:rFonts w:asciiTheme="minorHAnsi" w:hAnsiTheme="minorHAnsi" w:cstheme="minorHAnsi"/>
          <w:sz w:val="24"/>
          <w:szCs w:val="24"/>
        </w:rPr>
        <w:t>Discuss the stren</w:t>
      </w:r>
      <w:r w:rsidR="00E11FC8" w:rsidRPr="000A4BDC">
        <w:rPr>
          <w:rFonts w:asciiTheme="minorHAnsi" w:hAnsiTheme="minorHAnsi" w:cstheme="minorHAnsi"/>
          <w:sz w:val="24"/>
          <w:szCs w:val="24"/>
        </w:rPr>
        <w:t>gths and weaknesses of the IBDP.</w:t>
      </w:r>
    </w:p>
    <w:p w14:paraId="717E05B3" w14:textId="77777777" w:rsidR="00331D28" w:rsidRPr="000A4BDC" w:rsidRDefault="00331D28" w:rsidP="00582590">
      <w:pPr>
        <w:pStyle w:val="ListParagraph"/>
        <w:numPr>
          <w:ilvl w:val="0"/>
          <w:numId w:val="2"/>
        </w:numPr>
        <w:ind w:left="851" w:hanging="284"/>
        <w:jc w:val="both"/>
        <w:rPr>
          <w:rFonts w:asciiTheme="minorHAnsi" w:hAnsiTheme="minorHAnsi" w:cstheme="minorHAnsi"/>
          <w:sz w:val="24"/>
          <w:szCs w:val="24"/>
        </w:rPr>
      </w:pPr>
      <w:r w:rsidRPr="000A4BDC">
        <w:rPr>
          <w:rFonts w:asciiTheme="minorHAnsi" w:hAnsiTheme="minorHAnsi" w:cstheme="minorHAnsi"/>
          <w:sz w:val="24"/>
          <w:szCs w:val="24"/>
        </w:rPr>
        <w:t>What do you think you have learnt as an SLT from introducing the IB?</w:t>
      </w:r>
    </w:p>
    <w:p w14:paraId="0AAD9BEB" w14:textId="77777777" w:rsidR="00331D28" w:rsidRPr="000A4BDC" w:rsidRDefault="00331D28" w:rsidP="00582590">
      <w:pPr>
        <w:pStyle w:val="ListParagraph"/>
        <w:numPr>
          <w:ilvl w:val="0"/>
          <w:numId w:val="2"/>
        </w:numPr>
        <w:ind w:left="851" w:hanging="284"/>
        <w:jc w:val="both"/>
        <w:rPr>
          <w:rFonts w:asciiTheme="minorHAnsi" w:hAnsiTheme="minorHAnsi" w:cstheme="minorHAnsi"/>
          <w:sz w:val="24"/>
          <w:szCs w:val="24"/>
        </w:rPr>
      </w:pPr>
      <w:r w:rsidRPr="000A4BDC">
        <w:rPr>
          <w:rFonts w:asciiTheme="minorHAnsi" w:hAnsiTheme="minorHAnsi" w:cstheme="minorHAnsi"/>
          <w:sz w:val="24"/>
          <w:szCs w:val="24"/>
        </w:rPr>
        <w:t>If relevant, how did you make the decision to pull out of the IB?</w:t>
      </w:r>
    </w:p>
    <w:p w14:paraId="41432B76" w14:textId="77777777" w:rsidR="00331D28" w:rsidRPr="000A4BDC" w:rsidRDefault="00331D28" w:rsidP="00582590">
      <w:pPr>
        <w:pStyle w:val="ListParagraph"/>
        <w:numPr>
          <w:ilvl w:val="0"/>
          <w:numId w:val="2"/>
        </w:numPr>
        <w:ind w:left="851" w:hanging="284"/>
        <w:jc w:val="both"/>
        <w:rPr>
          <w:rFonts w:asciiTheme="minorHAnsi" w:hAnsiTheme="minorHAnsi" w:cstheme="minorHAnsi"/>
          <w:sz w:val="24"/>
          <w:szCs w:val="24"/>
        </w:rPr>
      </w:pPr>
      <w:r w:rsidRPr="000A4BDC">
        <w:rPr>
          <w:rFonts w:asciiTheme="minorHAnsi" w:hAnsiTheme="minorHAnsi" w:cstheme="minorHAnsi"/>
          <w:sz w:val="24"/>
          <w:szCs w:val="24"/>
          <w:lang w:val="en-GB"/>
        </w:rPr>
        <w:t>If relevant, c</w:t>
      </w:r>
      <w:r w:rsidRPr="000A4BDC">
        <w:rPr>
          <w:rFonts w:asciiTheme="minorHAnsi" w:hAnsiTheme="minorHAnsi" w:cstheme="minorHAnsi"/>
          <w:sz w:val="24"/>
          <w:szCs w:val="24"/>
        </w:rPr>
        <w:t>ould you foresee a circumstance where you attempted to reintroduce the IB?</w:t>
      </w:r>
    </w:p>
    <w:p w14:paraId="48E72456" w14:textId="77777777" w:rsidR="00331D28" w:rsidRPr="000A4BDC" w:rsidRDefault="00331D28" w:rsidP="00582590">
      <w:pPr>
        <w:pStyle w:val="ListParagraph"/>
        <w:numPr>
          <w:ilvl w:val="0"/>
          <w:numId w:val="2"/>
        </w:numPr>
        <w:ind w:left="851" w:hanging="284"/>
        <w:jc w:val="both"/>
        <w:rPr>
          <w:rFonts w:asciiTheme="minorHAnsi" w:hAnsiTheme="minorHAnsi" w:cstheme="minorHAnsi"/>
          <w:b/>
          <w:sz w:val="24"/>
          <w:szCs w:val="24"/>
        </w:rPr>
      </w:pPr>
      <w:r w:rsidRPr="000A4BDC">
        <w:rPr>
          <w:rFonts w:asciiTheme="minorHAnsi" w:hAnsiTheme="minorHAnsi" w:cstheme="minorHAnsi"/>
          <w:sz w:val="24"/>
          <w:szCs w:val="24"/>
        </w:rPr>
        <w:t>Would you like to make any other comments?</w:t>
      </w:r>
    </w:p>
    <w:p w14:paraId="6669C23E" w14:textId="77777777" w:rsidR="00331D28" w:rsidRPr="000A4BDC" w:rsidRDefault="00331D28" w:rsidP="00582590">
      <w:pPr>
        <w:spacing w:line="276" w:lineRule="auto"/>
        <w:jc w:val="both"/>
        <w:rPr>
          <w:rFonts w:cstheme="minorHAnsi"/>
          <w:sz w:val="24"/>
          <w:szCs w:val="24"/>
        </w:rPr>
      </w:pPr>
      <w:r w:rsidRPr="000A4BDC">
        <w:rPr>
          <w:rFonts w:cstheme="minorHAnsi"/>
          <w:sz w:val="24"/>
          <w:szCs w:val="24"/>
        </w:rPr>
        <w:t xml:space="preserve">By creating categories and sub-categories these are then contrasted, and the properties of categories can be tested against concepts and the ‘spoken realities’ of </w:t>
      </w:r>
      <w:r w:rsidR="00025FA6" w:rsidRPr="000A4BDC">
        <w:rPr>
          <w:rFonts w:cstheme="minorHAnsi"/>
          <w:sz w:val="24"/>
          <w:szCs w:val="24"/>
        </w:rPr>
        <w:t xml:space="preserve">the interviewees. </w:t>
      </w:r>
      <w:r w:rsidRPr="000A4BDC">
        <w:rPr>
          <w:rFonts w:cstheme="minorHAnsi"/>
          <w:sz w:val="24"/>
          <w:szCs w:val="24"/>
        </w:rPr>
        <w:t xml:space="preserve">The research process intends for a synthesis to emerge where issues can be analysed and explained, which highlights how </w:t>
      </w:r>
      <w:r w:rsidR="00DA33E7" w:rsidRPr="000A4BDC">
        <w:rPr>
          <w:rFonts w:cstheme="minorHAnsi"/>
          <w:sz w:val="24"/>
          <w:szCs w:val="24"/>
        </w:rPr>
        <w:t xml:space="preserve">English </w:t>
      </w:r>
      <w:r w:rsidRPr="000A4BDC">
        <w:rPr>
          <w:rFonts w:cstheme="minorHAnsi"/>
          <w:sz w:val="24"/>
          <w:szCs w:val="24"/>
        </w:rPr>
        <w:t>education policy, in relation to the IBDP, has been deployed in the last decade, and this is what builds a picture that enables learning to take place from the successes and failures that happen from within th</w:t>
      </w:r>
      <w:r w:rsidR="002E53E6" w:rsidRPr="000A4BDC">
        <w:rPr>
          <w:rFonts w:cstheme="minorHAnsi"/>
          <w:sz w:val="24"/>
          <w:szCs w:val="24"/>
        </w:rPr>
        <w:t>e SLT positions and decisions.</w:t>
      </w:r>
      <w:r w:rsidRPr="000A4BDC">
        <w:rPr>
          <w:rFonts w:cstheme="minorHAnsi"/>
          <w:sz w:val="24"/>
          <w:szCs w:val="24"/>
        </w:rPr>
        <w:t xml:space="preserve"> </w:t>
      </w:r>
    </w:p>
    <w:p w14:paraId="024DBDE9" w14:textId="77777777" w:rsidR="00DA33E7" w:rsidRPr="000A4BDC" w:rsidRDefault="00DA33E7" w:rsidP="00582590">
      <w:pPr>
        <w:spacing w:line="276" w:lineRule="auto"/>
        <w:jc w:val="both"/>
        <w:rPr>
          <w:rFonts w:cstheme="minorHAnsi"/>
          <w:b/>
          <w:i/>
          <w:sz w:val="24"/>
          <w:szCs w:val="24"/>
        </w:rPr>
      </w:pPr>
    </w:p>
    <w:p w14:paraId="7B7B5102" w14:textId="77777777" w:rsidR="00A47D2D" w:rsidRPr="003B3FBF" w:rsidRDefault="00A47D2D" w:rsidP="00582590">
      <w:pPr>
        <w:spacing w:line="276" w:lineRule="auto"/>
        <w:jc w:val="both"/>
        <w:rPr>
          <w:rFonts w:cstheme="minorHAnsi"/>
          <w:b/>
          <w:i/>
          <w:sz w:val="24"/>
          <w:szCs w:val="24"/>
        </w:rPr>
      </w:pPr>
      <w:r w:rsidRPr="003B3FBF">
        <w:rPr>
          <w:rFonts w:cstheme="minorHAnsi"/>
          <w:b/>
          <w:i/>
          <w:sz w:val="24"/>
          <w:szCs w:val="24"/>
        </w:rPr>
        <w:t>Data</w:t>
      </w:r>
      <w:r w:rsidR="000E2E01" w:rsidRPr="003B3FBF">
        <w:rPr>
          <w:rFonts w:cstheme="minorHAnsi"/>
          <w:b/>
          <w:i/>
          <w:sz w:val="24"/>
          <w:szCs w:val="24"/>
        </w:rPr>
        <w:t xml:space="preserve"> &amp; </w:t>
      </w:r>
      <w:r w:rsidRPr="003B3FBF">
        <w:rPr>
          <w:rFonts w:cstheme="minorHAnsi"/>
          <w:b/>
          <w:i/>
          <w:sz w:val="24"/>
          <w:szCs w:val="24"/>
        </w:rPr>
        <w:t>Analysis</w:t>
      </w:r>
      <w:r w:rsidR="000E2E01" w:rsidRPr="003B3FBF">
        <w:rPr>
          <w:rFonts w:cstheme="minorHAnsi"/>
          <w:b/>
          <w:i/>
          <w:sz w:val="24"/>
          <w:szCs w:val="24"/>
        </w:rPr>
        <w:t>.</w:t>
      </w:r>
    </w:p>
    <w:p w14:paraId="44DFB0DD" w14:textId="52DBEF00" w:rsidR="0073532B" w:rsidRPr="003B3FBF" w:rsidRDefault="00331FFB" w:rsidP="003B3FBF">
      <w:pPr>
        <w:spacing w:line="276" w:lineRule="auto"/>
        <w:jc w:val="both"/>
        <w:rPr>
          <w:rFonts w:cstheme="minorHAnsi"/>
          <w:sz w:val="24"/>
          <w:szCs w:val="24"/>
        </w:rPr>
      </w:pPr>
      <w:r w:rsidRPr="003B3FBF">
        <w:rPr>
          <w:rFonts w:cstheme="minorHAnsi"/>
          <w:sz w:val="24"/>
          <w:szCs w:val="24"/>
        </w:rPr>
        <w:t xml:space="preserve">Table </w:t>
      </w:r>
      <w:r w:rsidR="000B79C6" w:rsidRPr="003B3FBF">
        <w:rPr>
          <w:rFonts w:cstheme="minorHAnsi"/>
          <w:sz w:val="24"/>
          <w:szCs w:val="24"/>
        </w:rPr>
        <w:t>1</w:t>
      </w:r>
      <w:r w:rsidR="0073532B" w:rsidRPr="003B3FBF">
        <w:rPr>
          <w:rFonts w:cstheme="minorHAnsi"/>
          <w:sz w:val="24"/>
          <w:szCs w:val="24"/>
        </w:rPr>
        <w:t xml:space="preserve"> highlights</w:t>
      </w:r>
      <w:r w:rsidR="0062373D" w:rsidRPr="003B3FBF">
        <w:rPr>
          <w:rFonts w:cstheme="minorHAnsi"/>
          <w:sz w:val="24"/>
          <w:szCs w:val="24"/>
        </w:rPr>
        <w:t xml:space="preserve"> </w:t>
      </w:r>
      <w:r w:rsidR="0073532B" w:rsidRPr="003B3FBF">
        <w:rPr>
          <w:rFonts w:cstheme="minorHAnsi"/>
          <w:sz w:val="24"/>
          <w:szCs w:val="24"/>
        </w:rPr>
        <w:t>schools or colleges that</w:t>
      </w:r>
      <w:r w:rsidR="0062373D" w:rsidRPr="003B3FBF">
        <w:rPr>
          <w:rFonts w:cstheme="minorHAnsi"/>
          <w:sz w:val="24"/>
          <w:szCs w:val="24"/>
        </w:rPr>
        <w:t>:</w:t>
      </w:r>
    </w:p>
    <w:p w14:paraId="5490F7DC" w14:textId="77777777" w:rsidR="0073532B" w:rsidRPr="003B3FBF" w:rsidRDefault="0073532B" w:rsidP="003B3FBF">
      <w:pPr>
        <w:pStyle w:val="ListParagraph"/>
        <w:numPr>
          <w:ilvl w:val="0"/>
          <w:numId w:val="4"/>
        </w:numPr>
        <w:jc w:val="both"/>
        <w:rPr>
          <w:rFonts w:asciiTheme="minorHAnsi" w:hAnsiTheme="minorHAnsi" w:cstheme="minorHAnsi"/>
          <w:sz w:val="24"/>
          <w:szCs w:val="24"/>
        </w:rPr>
      </w:pPr>
      <w:r w:rsidRPr="003B3FBF">
        <w:rPr>
          <w:rFonts w:asciiTheme="minorHAnsi" w:hAnsiTheme="minorHAnsi" w:cstheme="minorHAnsi"/>
          <w:sz w:val="24"/>
          <w:szCs w:val="24"/>
        </w:rPr>
        <w:t>Are state or independent</w:t>
      </w:r>
    </w:p>
    <w:p w14:paraId="58818A23" w14:textId="77777777" w:rsidR="0073532B" w:rsidRPr="003B3FBF" w:rsidRDefault="0073532B" w:rsidP="003B3FBF">
      <w:pPr>
        <w:pStyle w:val="ListParagraph"/>
        <w:numPr>
          <w:ilvl w:val="0"/>
          <w:numId w:val="4"/>
        </w:numPr>
        <w:jc w:val="both"/>
        <w:rPr>
          <w:rFonts w:asciiTheme="minorHAnsi" w:hAnsiTheme="minorHAnsi" w:cstheme="minorHAnsi"/>
          <w:sz w:val="24"/>
          <w:szCs w:val="24"/>
        </w:rPr>
      </w:pPr>
      <w:r w:rsidRPr="003B3FBF">
        <w:rPr>
          <w:rFonts w:asciiTheme="minorHAnsi" w:hAnsiTheme="minorHAnsi" w:cstheme="minorHAnsi"/>
          <w:sz w:val="24"/>
          <w:szCs w:val="24"/>
        </w:rPr>
        <w:t>Cover a particular age range</w:t>
      </w:r>
    </w:p>
    <w:p w14:paraId="7C9D4B09" w14:textId="77777777" w:rsidR="0073532B" w:rsidRPr="003B3FBF" w:rsidRDefault="0036570B" w:rsidP="003B3FBF">
      <w:pPr>
        <w:pStyle w:val="ListParagraph"/>
        <w:numPr>
          <w:ilvl w:val="0"/>
          <w:numId w:val="4"/>
        </w:numPr>
        <w:jc w:val="both"/>
        <w:rPr>
          <w:rFonts w:asciiTheme="minorHAnsi" w:hAnsiTheme="minorHAnsi" w:cstheme="minorHAnsi"/>
          <w:sz w:val="24"/>
          <w:szCs w:val="24"/>
        </w:rPr>
      </w:pPr>
      <w:r w:rsidRPr="003B3FBF">
        <w:rPr>
          <w:rFonts w:asciiTheme="minorHAnsi" w:hAnsiTheme="minorHAnsi" w:cstheme="minorHAnsi"/>
          <w:sz w:val="24"/>
          <w:szCs w:val="24"/>
        </w:rPr>
        <w:t>Still deliver the IB</w:t>
      </w:r>
      <w:r w:rsidR="0073532B" w:rsidRPr="003B3FBF">
        <w:rPr>
          <w:rFonts w:asciiTheme="minorHAnsi" w:hAnsiTheme="minorHAnsi" w:cstheme="minorHAnsi"/>
          <w:sz w:val="24"/>
          <w:szCs w:val="24"/>
        </w:rPr>
        <w:t>DP</w:t>
      </w:r>
    </w:p>
    <w:p w14:paraId="39548ECF" w14:textId="77777777" w:rsidR="0073532B" w:rsidRPr="003B3FBF" w:rsidRDefault="0073532B" w:rsidP="003B3FBF">
      <w:pPr>
        <w:pStyle w:val="ListParagraph"/>
        <w:numPr>
          <w:ilvl w:val="0"/>
          <w:numId w:val="4"/>
        </w:numPr>
        <w:jc w:val="both"/>
        <w:rPr>
          <w:rFonts w:asciiTheme="minorHAnsi" w:hAnsiTheme="minorHAnsi" w:cstheme="minorHAnsi"/>
          <w:sz w:val="24"/>
          <w:szCs w:val="24"/>
        </w:rPr>
      </w:pPr>
      <w:r w:rsidRPr="003B3FBF">
        <w:rPr>
          <w:rFonts w:asciiTheme="minorHAnsi" w:hAnsiTheme="minorHAnsi" w:cstheme="minorHAnsi"/>
          <w:sz w:val="24"/>
          <w:szCs w:val="24"/>
        </w:rPr>
        <w:t>And, which other courses they deliver at Level 3, namely:</w:t>
      </w:r>
    </w:p>
    <w:p w14:paraId="7BF75C75" w14:textId="77777777" w:rsidR="0073532B" w:rsidRPr="003B3FBF" w:rsidRDefault="0073532B" w:rsidP="003B3FBF">
      <w:pPr>
        <w:pStyle w:val="ListParagraph"/>
        <w:numPr>
          <w:ilvl w:val="1"/>
          <w:numId w:val="4"/>
        </w:numPr>
        <w:jc w:val="both"/>
        <w:rPr>
          <w:rFonts w:asciiTheme="minorHAnsi" w:hAnsiTheme="minorHAnsi" w:cstheme="minorHAnsi"/>
          <w:sz w:val="24"/>
          <w:szCs w:val="24"/>
        </w:rPr>
      </w:pPr>
      <w:r w:rsidRPr="003B3FBF">
        <w:rPr>
          <w:rFonts w:asciiTheme="minorHAnsi" w:hAnsiTheme="minorHAnsi" w:cstheme="minorHAnsi"/>
          <w:sz w:val="24"/>
          <w:szCs w:val="24"/>
        </w:rPr>
        <w:t>Pre-U</w:t>
      </w:r>
      <w:r w:rsidR="00DD3B28" w:rsidRPr="003B3FBF">
        <w:rPr>
          <w:rFonts w:asciiTheme="minorHAnsi" w:hAnsiTheme="minorHAnsi" w:cstheme="minorHAnsi"/>
          <w:sz w:val="24"/>
          <w:szCs w:val="24"/>
        </w:rPr>
        <w:t xml:space="preserve"> (Pre-University)</w:t>
      </w:r>
    </w:p>
    <w:p w14:paraId="5BA2FCB9" w14:textId="77777777" w:rsidR="0073532B" w:rsidRPr="003B3FBF" w:rsidRDefault="0073532B" w:rsidP="003B3FBF">
      <w:pPr>
        <w:pStyle w:val="ListParagraph"/>
        <w:numPr>
          <w:ilvl w:val="1"/>
          <w:numId w:val="4"/>
        </w:numPr>
        <w:jc w:val="both"/>
        <w:rPr>
          <w:rFonts w:asciiTheme="minorHAnsi" w:hAnsiTheme="minorHAnsi" w:cstheme="minorHAnsi"/>
          <w:sz w:val="24"/>
          <w:szCs w:val="24"/>
        </w:rPr>
      </w:pPr>
      <w:r w:rsidRPr="003B3FBF">
        <w:rPr>
          <w:rFonts w:asciiTheme="minorHAnsi" w:hAnsiTheme="minorHAnsi" w:cstheme="minorHAnsi"/>
          <w:sz w:val="24"/>
          <w:szCs w:val="24"/>
        </w:rPr>
        <w:t>AQA Bacc</w:t>
      </w:r>
      <w:r w:rsidR="00DD3B28" w:rsidRPr="003B3FBF">
        <w:rPr>
          <w:rFonts w:asciiTheme="minorHAnsi" w:hAnsiTheme="minorHAnsi" w:cstheme="minorHAnsi"/>
          <w:sz w:val="24"/>
          <w:szCs w:val="24"/>
        </w:rPr>
        <w:t>alaureate</w:t>
      </w:r>
    </w:p>
    <w:p w14:paraId="16C627BE" w14:textId="77777777" w:rsidR="0073532B" w:rsidRPr="003B3FBF" w:rsidRDefault="0073532B" w:rsidP="003B3FBF">
      <w:pPr>
        <w:pStyle w:val="ListParagraph"/>
        <w:numPr>
          <w:ilvl w:val="1"/>
          <w:numId w:val="4"/>
        </w:numPr>
        <w:jc w:val="both"/>
        <w:rPr>
          <w:rFonts w:asciiTheme="minorHAnsi" w:hAnsiTheme="minorHAnsi" w:cstheme="minorHAnsi"/>
          <w:sz w:val="24"/>
          <w:szCs w:val="24"/>
        </w:rPr>
      </w:pPr>
      <w:r w:rsidRPr="003B3FBF">
        <w:rPr>
          <w:rFonts w:asciiTheme="minorHAnsi" w:hAnsiTheme="minorHAnsi" w:cstheme="minorHAnsi"/>
          <w:sz w:val="24"/>
          <w:szCs w:val="24"/>
        </w:rPr>
        <w:t>EPQ</w:t>
      </w:r>
      <w:r w:rsidR="00DD3B28" w:rsidRPr="003B3FBF">
        <w:rPr>
          <w:rFonts w:asciiTheme="minorHAnsi" w:hAnsiTheme="minorHAnsi" w:cstheme="minorHAnsi"/>
          <w:sz w:val="24"/>
          <w:szCs w:val="24"/>
        </w:rPr>
        <w:t xml:space="preserve"> (Extended Project Qualification)</w:t>
      </w:r>
    </w:p>
    <w:p w14:paraId="4AEF5207" w14:textId="77777777" w:rsidR="000073D7" w:rsidRPr="003B3FBF" w:rsidRDefault="0062373D" w:rsidP="003B3FBF">
      <w:pPr>
        <w:pStyle w:val="ListParagraph"/>
        <w:numPr>
          <w:ilvl w:val="1"/>
          <w:numId w:val="4"/>
        </w:numPr>
        <w:jc w:val="both"/>
        <w:rPr>
          <w:rFonts w:asciiTheme="minorHAnsi" w:hAnsiTheme="minorHAnsi" w:cstheme="minorHAnsi"/>
          <w:sz w:val="24"/>
          <w:szCs w:val="24"/>
        </w:rPr>
      </w:pPr>
      <w:bookmarkStart w:id="4" w:name="_Toc450075012"/>
      <w:r w:rsidRPr="003B3FBF">
        <w:rPr>
          <w:rFonts w:asciiTheme="minorHAnsi" w:hAnsiTheme="minorHAnsi" w:cstheme="minorHAnsi"/>
          <w:sz w:val="24"/>
          <w:szCs w:val="24"/>
        </w:rPr>
        <w:t>Other Level 3 courses</w:t>
      </w:r>
    </w:p>
    <w:p w14:paraId="3F42D775" w14:textId="5BA88AAE" w:rsidR="000B79C6" w:rsidRPr="003B3FBF" w:rsidRDefault="00EF2C1D" w:rsidP="003B3FBF">
      <w:pPr>
        <w:pStyle w:val="NormalWeb"/>
        <w:spacing w:before="0" w:beforeAutospacing="0" w:after="160" w:afterAutospacing="0" w:line="276" w:lineRule="auto"/>
        <w:jc w:val="both"/>
        <w:rPr>
          <w:rFonts w:asciiTheme="minorHAnsi" w:hAnsiTheme="minorHAnsi" w:cstheme="minorHAnsi"/>
        </w:rPr>
      </w:pPr>
      <w:r w:rsidRPr="003B3FBF">
        <w:rPr>
          <w:rFonts w:asciiTheme="minorHAnsi" w:hAnsiTheme="minorHAnsi" w:cstheme="minorHAnsi"/>
        </w:rPr>
        <w:t xml:space="preserve">For the purposes of data collection, the number of state schools and independent schools is evenly distributed, four state and four independent. </w:t>
      </w:r>
      <w:r w:rsidR="00DA33E7" w:rsidRPr="003B3FBF">
        <w:rPr>
          <w:rFonts w:asciiTheme="minorHAnsi" w:hAnsiTheme="minorHAnsi" w:cstheme="minorHAnsi"/>
        </w:rPr>
        <w:t>T</w:t>
      </w:r>
      <w:r w:rsidRPr="003B3FBF">
        <w:rPr>
          <w:rFonts w:asciiTheme="minorHAnsi" w:hAnsiTheme="minorHAnsi" w:cstheme="minorHAnsi"/>
        </w:rPr>
        <w:t>he independent schools</w:t>
      </w:r>
      <w:r w:rsidRPr="003B3FBF">
        <w:rPr>
          <w:rStyle w:val="apple-converted-space"/>
          <w:rFonts w:asciiTheme="minorHAnsi" w:hAnsiTheme="minorHAnsi" w:cstheme="minorHAnsi"/>
        </w:rPr>
        <w:t> </w:t>
      </w:r>
      <w:r w:rsidR="00DA33E7" w:rsidRPr="003B3FBF">
        <w:rPr>
          <w:rStyle w:val="apple-converted-space"/>
          <w:rFonts w:asciiTheme="minorHAnsi" w:hAnsiTheme="minorHAnsi" w:cstheme="minorHAnsi"/>
        </w:rPr>
        <w:t xml:space="preserve">were more likely to </w:t>
      </w:r>
      <w:r w:rsidRPr="003B3FBF">
        <w:rPr>
          <w:rStyle w:val="Strong"/>
          <w:rFonts w:asciiTheme="minorHAnsi" w:hAnsiTheme="minorHAnsi" w:cstheme="minorHAnsi"/>
          <w:b w:val="0"/>
        </w:rPr>
        <w:t xml:space="preserve">also </w:t>
      </w:r>
      <w:r w:rsidRPr="003B3FBF">
        <w:rPr>
          <w:rFonts w:asciiTheme="minorHAnsi" w:hAnsiTheme="minorHAnsi" w:cstheme="minorHAnsi"/>
        </w:rPr>
        <w:t>cover a primary age range, and only </w:t>
      </w:r>
      <w:r w:rsidRPr="003B3FBF">
        <w:rPr>
          <w:rStyle w:val="Strong"/>
          <w:rFonts w:asciiTheme="minorHAnsi" w:hAnsiTheme="minorHAnsi" w:cstheme="minorHAnsi"/>
          <w:b w:val="0"/>
        </w:rPr>
        <w:t>two</w:t>
      </w:r>
      <w:r w:rsidRPr="003B3FBF">
        <w:rPr>
          <w:rStyle w:val="apple-converted-space"/>
          <w:rFonts w:asciiTheme="minorHAnsi" w:hAnsiTheme="minorHAnsi" w:cstheme="minorHAnsi"/>
          <w:b/>
          <w:bCs/>
        </w:rPr>
        <w:t> </w:t>
      </w:r>
      <w:r w:rsidRPr="003B3FBF">
        <w:rPr>
          <w:rFonts w:asciiTheme="minorHAnsi" w:hAnsiTheme="minorHAnsi" w:cstheme="minorHAnsi"/>
        </w:rPr>
        <w:t>of the state</w:t>
      </w:r>
      <w:r w:rsidRPr="003B3FBF">
        <w:rPr>
          <w:rStyle w:val="apple-converted-space"/>
          <w:rFonts w:asciiTheme="minorHAnsi" w:hAnsiTheme="minorHAnsi" w:cstheme="minorHAnsi"/>
        </w:rPr>
        <w:t> </w:t>
      </w:r>
      <w:r w:rsidRPr="003B3FBF">
        <w:rPr>
          <w:rStyle w:val="Strong"/>
          <w:rFonts w:asciiTheme="minorHAnsi" w:hAnsiTheme="minorHAnsi" w:cstheme="minorHAnsi"/>
          <w:b w:val="0"/>
        </w:rPr>
        <w:t>schools</w:t>
      </w:r>
      <w:r w:rsidRPr="003B3FBF">
        <w:rPr>
          <w:rStyle w:val="Strong"/>
          <w:rFonts w:asciiTheme="minorHAnsi" w:hAnsiTheme="minorHAnsi" w:cstheme="minorHAnsi"/>
        </w:rPr>
        <w:t> </w:t>
      </w:r>
      <w:r w:rsidRPr="003B3FBF">
        <w:rPr>
          <w:rStyle w:val="Strong"/>
          <w:rFonts w:asciiTheme="minorHAnsi" w:hAnsiTheme="minorHAnsi" w:cstheme="minorHAnsi"/>
          <w:b w:val="0"/>
        </w:rPr>
        <w:t>are</w:t>
      </w:r>
      <w:r w:rsidRPr="003B3FBF">
        <w:rPr>
          <w:rStyle w:val="apple-converted-space"/>
          <w:rFonts w:asciiTheme="minorHAnsi" w:hAnsiTheme="minorHAnsi" w:cstheme="minorHAnsi"/>
          <w:b/>
          <w:bCs/>
        </w:rPr>
        <w:t> </w:t>
      </w:r>
      <w:r w:rsidRPr="003B3FBF">
        <w:rPr>
          <w:rFonts w:asciiTheme="minorHAnsi" w:hAnsiTheme="minorHAnsi" w:cstheme="minorHAnsi"/>
        </w:rPr>
        <w:t xml:space="preserve">still delivering the IBDP. </w:t>
      </w:r>
    </w:p>
    <w:p w14:paraId="625499C1" w14:textId="77777777" w:rsidR="00090FE0" w:rsidRDefault="00090FE0" w:rsidP="00EF2C1D">
      <w:pPr>
        <w:pStyle w:val="NormalWeb"/>
        <w:spacing w:before="0" w:beforeAutospacing="0" w:after="160" w:afterAutospacing="0" w:line="276" w:lineRule="atLeast"/>
        <w:jc w:val="both"/>
        <w:rPr>
          <w:rFonts w:cstheme="minorHAnsi"/>
        </w:rPr>
      </w:pPr>
    </w:p>
    <w:p w14:paraId="629B7CF8" w14:textId="77777777" w:rsidR="00090FE0" w:rsidRDefault="00090FE0" w:rsidP="00EF2C1D">
      <w:pPr>
        <w:pStyle w:val="NormalWeb"/>
        <w:spacing w:before="0" w:beforeAutospacing="0" w:after="160" w:afterAutospacing="0" w:line="276" w:lineRule="atLeast"/>
        <w:jc w:val="both"/>
        <w:rPr>
          <w:rFonts w:cstheme="minorHAnsi"/>
        </w:rPr>
      </w:pPr>
    </w:p>
    <w:p w14:paraId="0216199A" w14:textId="77777777" w:rsidR="00090FE0" w:rsidRPr="000A4BDC" w:rsidRDefault="00090FE0" w:rsidP="00EF2C1D">
      <w:pPr>
        <w:pStyle w:val="NormalWeb"/>
        <w:spacing w:before="0" w:beforeAutospacing="0" w:after="160" w:afterAutospacing="0" w:line="276" w:lineRule="atLeast"/>
        <w:jc w:val="both"/>
        <w:rPr>
          <w:rFonts w:asciiTheme="minorHAnsi" w:hAnsiTheme="minorHAnsi" w:cstheme="minorHAnsi"/>
        </w:rPr>
      </w:pPr>
    </w:p>
    <w:p w14:paraId="5A2AC49D" w14:textId="6BDD259A" w:rsidR="00EF2C1D" w:rsidRPr="000A4BDC" w:rsidRDefault="00EF2C1D" w:rsidP="00EF2C1D">
      <w:pPr>
        <w:pStyle w:val="NormalWeb"/>
        <w:spacing w:before="0" w:beforeAutospacing="0" w:after="160" w:afterAutospacing="0" w:line="276" w:lineRule="atLeast"/>
        <w:jc w:val="both"/>
        <w:rPr>
          <w:rFonts w:asciiTheme="minorHAnsi" w:hAnsiTheme="minorHAnsi" w:cstheme="minorHAnsi"/>
        </w:rPr>
      </w:pPr>
    </w:p>
    <w:p w14:paraId="35C58E5B" w14:textId="1DF87078" w:rsidR="0073532B" w:rsidRPr="000A4BDC" w:rsidRDefault="0073532B" w:rsidP="00582590">
      <w:pPr>
        <w:pStyle w:val="Caption"/>
        <w:spacing w:line="276" w:lineRule="auto"/>
        <w:jc w:val="both"/>
        <w:rPr>
          <w:rFonts w:asciiTheme="minorHAnsi" w:hAnsiTheme="minorHAnsi" w:cstheme="minorHAnsi"/>
          <w:color w:val="auto"/>
          <w:sz w:val="24"/>
          <w:szCs w:val="24"/>
        </w:rPr>
      </w:pPr>
      <w:r w:rsidRPr="000A4BDC">
        <w:rPr>
          <w:rFonts w:asciiTheme="minorHAnsi" w:hAnsiTheme="minorHAnsi" w:cstheme="minorHAnsi"/>
          <w:color w:val="auto"/>
          <w:sz w:val="24"/>
          <w:szCs w:val="24"/>
        </w:rPr>
        <w:lastRenderedPageBreak/>
        <w:t xml:space="preserve">Table </w:t>
      </w:r>
      <w:r w:rsidR="000B79C6" w:rsidRPr="000A4BDC">
        <w:rPr>
          <w:rFonts w:asciiTheme="minorHAnsi" w:hAnsiTheme="minorHAnsi" w:cstheme="minorHAnsi"/>
          <w:color w:val="auto"/>
          <w:sz w:val="24"/>
          <w:szCs w:val="24"/>
        </w:rPr>
        <w:t>1</w:t>
      </w:r>
      <w:r w:rsidRPr="000A4BDC">
        <w:rPr>
          <w:rFonts w:asciiTheme="minorHAnsi" w:hAnsiTheme="minorHAnsi" w:cstheme="minorHAnsi"/>
          <w:color w:val="auto"/>
          <w:sz w:val="24"/>
          <w:szCs w:val="24"/>
        </w:rPr>
        <w:t xml:space="preserve"> - Overview of centre profiles</w:t>
      </w:r>
      <w:bookmarkEnd w:id="4"/>
    </w:p>
    <w:tbl>
      <w:tblPr>
        <w:tblStyle w:val="TableGrid"/>
        <w:tblW w:w="0" w:type="auto"/>
        <w:tblLook w:val="04A0" w:firstRow="1" w:lastRow="0" w:firstColumn="1" w:lastColumn="0" w:noHBand="0" w:noVBand="1"/>
      </w:tblPr>
      <w:tblGrid>
        <w:gridCol w:w="1145"/>
        <w:gridCol w:w="1544"/>
        <w:gridCol w:w="870"/>
        <w:gridCol w:w="1306"/>
        <w:gridCol w:w="774"/>
        <w:gridCol w:w="1375"/>
        <w:gridCol w:w="871"/>
        <w:gridCol w:w="1131"/>
      </w:tblGrid>
      <w:tr w:rsidR="0073532B" w:rsidRPr="00787371" w14:paraId="1512D83F" w14:textId="77777777" w:rsidTr="00430E02">
        <w:tc>
          <w:tcPr>
            <w:tcW w:w="1167" w:type="dxa"/>
          </w:tcPr>
          <w:p w14:paraId="76F3124C" w14:textId="77777777" w:rsidR="0073532B" w:rsidRPr="000A4BDC" w:rsidRDefault="0073532B" w:rsidP="00582590">
            <w:pPr>
              <w:spacing w:line="276" w:lineRule="auto"/>
              <w:jc w:val="both"/>
              <w:rPr>
                <w:rFonts w:asciiTheme="minorHAnsi" w:hAnsiTheme="minorHAnsi" w:cstheme="minorHAnsi"/>
                <w:b/>
                <w:bCs/>
                <w:iCs/>
                <w:sz w:val="24"/>
                <w:szCs w:val="24"/>
              </w:rPr>
            </w:pPr>
            <w:r w:rsidRPr="000A4BDC">
              <w:rPr>
                <w:rFonts w:cstheme="minorHAnsi"/>
                <w:b/>
                <w:bCs/>
                <w:iCs/>
                <w:sz w:val="24"/>
                <w:szCs w:val="24"/>
              </w:rPr>
              <w:t>Centre number</w:t>
            </w:r>
          </w:p>
        </w:tc>
        <w:tc>
          <w:tcPr>
            <w:tcW w:w="1551" w:type="dxa"/>
          </w:tcPr>
          <w:p w14:paraId="6611D442" w14:textId="77777777" w:rsidR="0073532B" w:rsidRPr="000A4BDC" w:rsidRDefault="0073532B" w:rsidP="00582590">
            <w:pPr>
              <w:spacing w:line="276" w:lineRule="auto"/>
              <w:jc w:val="both"/>
              <w:rPr>
                <w:rFonts w:asciiTheme="minorHAnsi" w:hAnsiTheme="minorHAnsi" w:cstheme="minorHAnsi"/>
                <w:b/>
                <w:bCs/>
                <w:iCs/>
                <w:sz w:val="24"/>
                <w:szCs w:val="24"/>
              </w:rPr>
            </w:pPr>
            <w:r w:rsidRPr="000A4BDC">
              <w:rPr>
                <w:rFonts w:cstheme="minorHAnsi"/>
                <w:b/>
                <w:bCs/>
                <w:iCs/>
                <w:sz w:val="24"/>
                <w:szCs w:val="24"/>
              </w:rPr>
              <w:t>Independent</w:t>
            </w:r>
          </w:p>
          <w:p w14:paraId="5508E27C"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
                <w:bCs/>
                <w:iCs/>
                <w:sz w:val="24"/>
                <w:szCs w:val="24"/>
              </w:rPr>
              <w:t>or State</w:t>
            </w:r>
          </w:p>
        </w:tc>
        <w:tc>
          <w:tcPr>
            <w:tcW w:w="780" w:type="dxa"/>
          </w:tcPr>
          <w:p w14:paraId="50E58836" w14:textId="77777777" w:rsidR="0073532B" w:rsidRPr="000A4BDC" w:rsidRDefault="0073532B" w:rsidP="00582590">
            <w:pPr>
              <w:spacing w:line="276" w:lineRule="auto"/>
              <w:jc w:val="both"/>
              <w:rPr>
                <w:rFonts w:asciiTheme="minorHAnsi" w:hAnsiTheme="minorHAnsi" w:cstheme="minorHAnsi"/>
                <w:b/>
                <w:bCs/>
                <w:iCs/>
                <w:sz w:val="24"/>
                <w:szCs w:val="24"/>
              </w:rPr>
            </w:pPr>
            <w:r w:rsidRPr="000A4BDC">
              <w:rPr>
                <w:rFonts w:cstheme="minorHAnsi"/>
                <w:b/>
                <w:bCs/>
                <w:iCs/>
                <w:sz w:val="24"/>
                <w:szCs w:val="24"/>
              </w:rPr>
              <w:t>Age Range</w:t>
            </w:r>
          </w:p>
        </w:tc>
        <w:tc>
          <w:tcPr>
            <w:tcW w:w="1406" w:type="dxa"/>
          </w:tcPr>
          <w:p w14:paraId="10A75F4E" w14:textId="77777777" w:rsidR="0073532B" w:rsidRPr="00090FE0" w:rsidRDefault="0073532B" w:rsidP="00582590">
            <w:pPr>
              <w:spacing w:line="276" w:lineRule="auto"/>
              <w:jc w:val="both"/>
              <w:rPr>
                <w:rFonts w:asciiTheme="minorHAnsi" w:hAnsiTheme="minorHAnsi" w:cstheme="minorHAnsi"/>
                <w:b/>
                <w:bCs/>
                <w:iCs/>
                <w:sz w:val="24"/>
                <w:szCs w:val="24"/>
              </w:rPr>
            </w:pPr>
            <w:r w:rsidRPr="00090FE0">
              <w:rPr>
                <w:rFonts w:cstheme="minorHAnsi"/>
                <w:b/>
                <w:bCs/>
                <w:iCs/>
                <w:sz w:val="24"/>
                <w:szCs w:val="24"/>
              </w:rPr>
              <w:t xml:space="preserve">IBDP </w:t>
            </w:r>
          </w:p>
          <w:p w14:paraId="7FFFE516" w14:textId="77777777" w:rsidR="0073532B" w:rsidRPr="00090FE0" w:rsidRDefault="0073532B" w:rsidP="00582590">
            <w:pPr>
              <w:spacing w:line="276" w:lineRule="auto"/>
              <w:jc w:val="both"/>
              <w:rPr>
                <w:rFonts w:asciiTheme="minorHAnsi" w:hAnsiTheme="minorHAnsi" w:cstheme="minorHAnsi"/>
                <w:bCs/>
                <w:iCs/>
                <w:sz w:val="24"/>
                <w:szCs w:val="24"/>
              </w:rPr>
            </w:pPr>
            <w:r w:rsidRPr="00090FE0">
              <w:rPr>
                <w:rFonts w:cstheme="minorHAnsi"/>
                <w:b/>
                <w:bCs/>
                <w:iCs/>
                <w:sz w:val="24"/>
                <w:szCs w:val="24"/>
              </w:rPr>
              <w:t>Yes or No</w:t>
            </w:r>
          </w:p>
        </w:tc>
        <w:tc>
          <w:tcPr>
            <w:tcW w:w="810" w:type="dxa"/>
          </w:tcPr>
          <w:p w14:paraId="17046E36" w14:textId="77777777" w:rsidR="0073532B" w:rsidRPr="000A4BDC" w:rsidRDefault="0073532B" w:rsidP="00582590">
            <w:pPr>
              <w:spacing w:line="276" w:lineRule="auto"/>
              <w:jc w:val="both"/>
              <w:rPr>
                <w:rFonts w:asciiTheme="minorHAnsi" w:hAnsiTheme="minorHAnsi" w:cstheme="minorHAnsi"/>
                <w:b/>
                <w:bCs/>
                <w:iCs/>
                <w:sz w:val="24"/>
                <w:szCs w:val="24"/>
              </w:rPr>
            </w:pPr>
            <w:r w:rsidRPr="000A4BDC">
              <w:rPr>
                <w:rFonts w:cstheme="minorHAnsi"/>
                <w:b/>
                <w:bCs/>
                <w:iCs/>
                <w:sz w:val="24"/>
                <w:szCs w:val="24"/>
              </w:rPr>
              <w:t xml:space="preserve">Pre U </w:t>
            </w:r>
          </w:p>
          <w:p w14:paraId="2004D2C7"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
                <w:bCs/>
                <w:iCs/>
                <w:sz w:val="24"/>
                <w:szCs w:val="24"/>
              </w:rPr>
              <w:t>Yes or No</w:t>
            </w:r>
          </w:p>
        </w:tc>
        <w:tc>
          <w:tcPr>
            <w:tcW w:w="1473" w:type="dxa"/>
          </w:tcPr>
          <w:p w14:paraId="7416E8DE" w14:textId="77777777" w:rsidR="0073532B" w:rsidRPr="000A4BDC" w:rsidRDefault="0073532B" w:rsidP="00582590">
            <w:pPr>
              <w:spacing w:line="276" w:lineRule="auto"/>
              <w:jc w:val="both"/>
              <w:rPr>
                <w:rFonts w:asciiTheme="minorHAnsi" w:hAnsiTheme="minorHAnsi" w:cstheme="minorHAnsi"/>
                <w:b/>
                <w:bCs/>
                <w:iCs/>
                <w:sz w:val="24"/>
                <w:szCs w:val="24"/>
              </w:rPr>
            </w:pPr>
            <w:r w:rsidRPr="000A4BDC">
              <w:rPr>
                <w:rFonts w:cstheme="minorHAnsi"/>
                <w:b/>
                <w:bCs/>
                <w:iCs/>
                <w:sz w:val="24"/>
                <w:szCs w:val="24"/>
              </w:rPr>
              <w:t>A Levels</w:t>
            </w:r>
          </w:p>
          <w:p w14:paraId="2DF07EEA"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
                <w:bCs/>
                <w:iCs/>
                <w:sz w:val="24"/>
                <w:szCs w:val="24"/>
              </w:rPr>
              <w:t>Yes or No</w:t>
            </w:r>
          </w:p>
        </w:tc>
        <w:tc>
          <w:tcPr>
            <w:tcW w:w="894" w:type="dxa"/>
          </w:tcPr>
          <w:p w14:paraId="7E41B0FE" w14:textId="77777777" w:rsidR="0073532B" w:rsidRPr="000A4BDC" w:rsidRDefault="0073532B" w:rsidP="00582590">
            <w:pPr>
              <w:spacing w:line="276" w:lineRule="auto"/>
              <w:jc w:val="both"/>
              <w:rPr>
                <w:rFonts w:asciiTheme="minorHAnsi" w:hAnsiTheme="minorHAnsi" w:cstheme="minorHAnsi"/>
                <w:b/>
                <w:bCs/>
                <w:iCs/>
                <w:sz w:val="24"/>
                <w:szCs w:val="24"/>
              </w:rPr>
            </w:pPr>
            <w:r w:rsidRPr="000A4BDC">
              <w:rPr>
                <w:rFonts w:cstheme="minorHAnsi"/>
                <w:b/>
                <w:bCs/>
                <w:iCs/>
                <w:sz w:val="24"/>
                <w:szCs w:val="24"/>
              </w:rPr>
              <w:t>AQA Bacc or EPQ</w:t>
            </w:r>
          </w:p>
          <w:p w14:paraId="3930063F"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
                <w:bCs/>
                <w:iCs/>
                <w:sz w:val="24"/>
                <w:szCs w:val="24"/>
              </w:rPr>
              <w:t>Yes or No</w:t>
            </w:r>
          </w:p>
        </w:tc>
        <w:tc>
          <w:tcPr>
            <w:tcW w:w="1161" w:type="dxa"/>
          </w:tcPr>
          <w:p w14:paraId="026C700A" w14:textId="77777777" w:rsidR="0073532B" w:rsidRPr="000A4BDC" w:rsidRDefault="0073532B" w:rsidP="00582590">
            <w:pPr>
              <w:spacing w:line="276" w:lineRule="auto"/>
              <w:jc w:val="both"/>
              <w:rPr>
                <w:rFonts w:asciiTheme="minorHAnsi" w:hAnsiTheme="minorHAnsi" w:cstheme="minorHAnsi"/>
                <w:b/>
                <w:bCs/>
                <w:iCs/>
                <w:sz w:val="24"/>
                <w:szCs w:val="24"/>
              </w:rPr>
            </w:pPr>
            <w:r w:rsidRPr="000A4BDC">
              <w:rPr>
                <w:rFonts w:cstheme="minorHAnsi"/>
                <w:b/>
                <w:bCs/>
                <w:iCs/>
                <w:sz w:val="24"/>
                <w:szCs w:val="24"/>
              </w:rPr>
              <w:t>Other Level 3 courses</w:t>
            </w:r>
          </w:p>
        </w:tc>
      </w:tr>
      <w:tr w:rsidR="0073532B" w:rsidRPr="00787371" w14:paraId="4EE82F5D" w14:textId="77777777" w:rsidTr="00430E02">
        <w:tc>
          <w:tcPr>
            <w:tcW w:w="1167" w:type="dxa"/>
          </w:tcPr>
          <w:p w14:paraId="0EFEAD9A"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One</w:t>
            </w:r>
          </w:p>
        </w:tc>
        <w:tc>
          <w:tcPr>
            <w:tcW w:w="1551" w:type="dxa"/>
          </w:tcPr>
          <w:p w14:paraId="5B56A6B7"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State</w:t>
            </w:r>
          </w:p>
        </w:tc>
        <w:tc>
          <w:tcPr>
            <w:tcW w:w="780" w:type="dxa"/>
          </w:tcPr>
          <w:p w14:paraId="2646960B"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16-19</w:t>
            </w:r>
          </w:p>
        </w:tc>
        <w:tc>
          <w:tcPr>
            <w:tcW w:w="1406" w:type="dxa"/>
          </w:tcPr>
          <w:p w14:paraId="7CF6FC7C" w14:textId="379824E7" w:rsidR="0073532B" w:rsidRPr="00090FE0" w:rsidRDefault="0073532B" w:rsidP="00582590">
            <w:pPr>
              <w:spacing w:line="276" w:lineRule="auto"/>
              <w:jc w:val="both"/>
              <w:rPr>
                <w:rFonts w:asciiTheme="minorHAnsi" w:hAnsiTheme="minorHAnsi" w:cstheme="minorHAnsi"/>
                <w:bCs/>
                <w:iCs/>
                <w:sz w:val="24"/>
                <w:szCs w:val="24"/>
              </w:rPr>
            </w:pPr>
            <w:r w:rsidRPr="00090FE0">
              <w:rPr>
                <w:rFonts w:cstheme="minorHAnsi"/>
                <w:bCs/>
                <w:iCs/>
                <w:sz w:val="24"/>
                <w:szCs w:val="24"/>
              </w:rPr>
              <w:t>No</w:t>
            </w:r>
          </w:p>
        </w:tc>
        <w:tc>
          <w:tcPr>
            <w:tcW w:w="810" w:type="dxa"/>
          </w:tcPr>
          <w:p w14:paraId="2A410EBE"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c>
          <w:tcPr>
            <w:tcW w:w="1473" w:type="dxa"/>
          </w:tcPr>
          <w:p w14:paraId="1CDF65DE"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c>
          <w:tcPr>
            <w:tcW w:w="894" w:type="dxa"/>
          </w:tcPr>
          <w:p w14:paraId="4153BD21"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c>
          <w:tcPr>
            <w:tcW w:w="1161" w:type="dxa"/>
          </w:tcPr>
          <w:p w14:paraId="448B7FC4"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p w14:paraId="36B167CF" w14:textId="77777777" w:rsidR="0073532B" w:rsidRPr="000A4BDC" w:rsidRDefault="0073532B" w:rsidP="00582590">
            <w:pPr>
              <w:spacing w:line="276" w:lineRule="auto"/>
              <w:jc w:val="both"/>
              <w:rPr>
                <w:rFonts w:asciiTheme="minorHAnsi" w:hAnsiTheme="minorHAnsi" w:cstheme="minorHAnsi"/>
                <w:bCs/>
                <w:iCs/>
                <w:sz w:val="24"/>
                <w:szCs w:val="24"/>
              </w:rPr>
            </w:pPr>
          </w:p>
        </w:tc>
      </w:tr>
      <w:tr w:rsidR="0073532B" w:rsidRPr="00787371" w14:paraId="68957D51" w14:textId="77777777" w:rsidTr="00430E02">
        <w:tc>
          <w:tcPr>
            <w:tcW w:w="1167" w:type="dxa"/>
          </w:tcPr>
          <w:p w14:paraId="3C6DE158"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Two</w:t>
            </w:r>
          </w:p>
        </w:tc>
        <w:tc>
          <w:tcPr>
            <w:tcW w:w="1551" w:type="dxa"/>
          </w:tcPr>
          <w:p w14:paraId="5E6ACFA6"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Independent</w:t>
            </w:r>
          </w:p>
        </w:tc>
        <w:tc>
          <w:tcPr>
            <w:tcW w:w="780" w:type="dxa"/>
          </w:tcPr>
          <w:p w14:paraId="42ACF59C"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13-18</w:t>
            </w:r>
          </w:p>
        </w:tc>
        <w:tc>
          <w:tcPr>
            <w:tcW w:w="1406" w:type="dxa"/>
          </w:tcPr>
          <w:p w14:paraId="00574781" w14:textId="77777777" w:rsidR="0073532B" w:rsidRPr="00090FE0" w:rsidRDefault="0073532B" w:rsidP="00582590">
            <w:pPr>
              <w:spacing w:line="276" w:lineRule="auto"/>
              <w:jc w:val="both"/>
              <w:rPr>
                <w:rFonts w:asciiTheme="minorHAnsi" w:hAnsiTheme="minorHAnsi" w:cstheme="minorHAnsi"/>
                <w:bCs/>
                <w:iCs/>
                <w:sz w:val="24"/>
                <w:szCs w:val="24"/>
              </w:rPr>
            </w:pPr>
            <w:r w:rsidRPr="00090FE0">
              <w:rPr>
                <w:rFonts w:cstheme="minorHAnsi"/>
                <w:bCs/>
                <w:iCs/>
                <w:sz w:val="24"/>
                <w:szCs w:val="24"/>
              </w:rPr>
              <w:t xml:space="preserve">Yes </w:t>
            </w:r>
          </w:p>
        </w:tc>
        <w:tc>
          <w:tcPr>
            <w:tcW w:w="810" w:type="dxa"/>
          </w:tcPr>
          <w:p w14:paraId="2F5ECD92"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c>
          <w:tcPr>
            <w:tcW w:w="1473" w:type="dxa"/>
          </w:tcPr>
          <w:p w14:paraId="63012C3C"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c>
          <w:tcPr>
            <w:tcW w:w="894" w:type="dxa"/>
          </w:tcPr>
          <w:p w14:paraId="3F0AEBFD"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c>
          <w:tcPr>
            <w:tcW w:w="1161" w:type="dxa"/>
          </w:tcPr>
          <w:p w14:paraId="210C1BDC"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r>
      <w:tr w:rsidR="0073532B" w:rsidRPr="00787371" w14:paraId="038C11EF" w14:textId="77777777" w:rsidTr="00430E02">
        <w:tc>
          <w:tcPr>
            <w:tcW w:w="1167" w:type="dxa"/>
          </w:tcPr>
          <w:p w14:paraId="49F587AF"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Three</w:t>
            </w:r>
          </w:p>
        </w:tc>
        <w:tc>
          <w:tcPr>
            <w:tcW w:w="1551" w:type="dxa"/>
          </w:tcPr>
          <w:p w14:paraId="6B6316B1"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State</w:t>
            </w:r>
          </w:p>
        </w:tc>
        <w:tc>
          <w:tcPr>
            <w:tcW w:w="780" w:type="dxa"/>
          </w:tcPr>
          <w:p w14:paraId="536A8780"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13-18</w:t>
            </w:r>
          </w:p>
        </w:tc>
        <w:tc>
          <w:tcPr>
            <w:tcW w:w="1406" w:type="dxa"/>
          </w:tcPr>
          <w:p w14:paraId="38DD1570" w14:textId="77777777" w:rsidR="0073532B" w:rsidRPr="00090FE0" w:rsidRDefault="0073532B" w:rsidP="00582590">
            <w:pPr>
              <w:spacing w:line="276" w:lineRule="auto"/>
              <w:jc w:val="both"/>
              <w:rPr>
                <w:rFonts w:asciiTheme="minorHAnsi" w:hAnsiTheme="minorHAnsi" w:cstheme="minorHAnsi"/>
                <w:bCs/>
                <w:iCs/>
                <w:sz w:val="24"/>
                <w:szCs w:val="24"/>
              </w:rPr>
            </w:pPr>
            <w:r w:rsidRPr="00090FE0">
              <w:rPr>
                <w:rFonts w:cstheme="minorHAnsi"/>
                <w:bCs/>
                <w:iCs/>
                <w:sz w:val="24"/>
                <w:szCs w:val="24"/>
              </w:rPr>
              <w:t>No</w:t>
            </w:r>
          </w:p>
        </w:tc>
        <w:tc>
          <w:tcPr>
            <w:tcW w:w="810" w:type="dxa"/>
          </w:tcPr>
          <w:p w14:paraId="148C3EA9"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c>
          <w:tcPr>
            <w:tcW w:w="1473" w:type="dxa"/>
          </w:tcPr>
          <w:p w14:paraId="634C8C1F"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c>
          <w:tcPr>
            <w:tcW w:w="894" w:type="dxa"/>
          </w:tcPr>
          <w:p w14:paraId="0AA859FB"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c>
          <w:tcPr>
            <w:tcW w:w="1161" w:type="dxa"/>
          </w:tcPr>
          <w:p w14:paraId="7790A80E" w14:textId="77777777" w:rsidR="0073532B" w:rsidRPr="000A4BDC" w:rsidRDefault="00DB4D0C" w:rsidP="00582590">
            <w:pPr>
              <w:spacing w:line="276" w:lineRule="auto"/>
              <w:jc w:val="both"/>
              <w:rPr>
                <w:rFonts w:asciiTheme="minorHAnsi" w:hAnsiTheme="minorHAnsi" w:cstheme="minorHAnsi"/>
                <w:bCs/>
                <w:iCs/>
                <w:sz w:val="24"/>
                <w:szCs w:val="24"/>
              </w:rPr>
            </w:pPr>
            <w:r w:rsidRPr="000A4BDC">
              <w:rPr>
                <w:rFonts w:cstheme="minorHAnsi"/>
                <w:bCs/>
                <w:iCs/>
                <w:sz w:val="24"/>
                <w:szCs w:val="24"/>
              </w:rPr>
              <w:t xml:space="preserve">Yes </w:t>
            </w:r>
          </w:p>
        </w:tc>
      </w:tr>
      <w:tr w:rsidR="0073532B" w:rsidRPr="00787371" w14:paraId="6B37C231" w14:textId="77777777" w:rsidTr="00430E02">
        <w:tc>
          <w:tcPr>
            <w:tcW w:w="1167" w:type="dxa"/>
          </w:tcPr>
          <w:p w14:paraId="2F98A038"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Four</w:t>
            </w:r>
          </w:p>
        </w:tc>
        <w:tc>
          <w:tcPr>
            <w:tcW w:w="1551" w:type="dxa"/>
          </w:tcPr>
          <w:p w14:paraId="0D474622"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Independent</w:t>
            </w:r>
          </w:p>
        </w:tc>
        <w:tc>
          <w:tcPr>
            <w:tcW w:w="780" w:type="dxa"/>
          </w:tcPr>
          <w:p w14:paraId="025A4C44"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4-18</w:t>
            </w:r>
          </w:p>
        </w:tc>
        <w:tc>
          <w:tcPr>
            <w:tcW w:w="1406" w:type="dxa"/>
          </w:tcPr>
          <w:p w14:paraId="5D2C6BDF" w14:textId="77777777" w:rsidR="0073532B" w:rsidRPr="00090FE0" w:rsidRDefault="0073532B" w:rsidP="00582590">
            <w:pPr>
              <w:spacing w:line="276" w:lineRule="auto"/>
              <w:jc w:val="both"/>
              <w:rPr>
                <w:rFonts w:asciiTheme="minorHAnsi" w:hAnsiTheme="minorHAnsi" w:cstheme="minorHAnsi"/>
                <w:bCs/>
                <w:iCs/>
                <w:sz w:val="24"/>
                <w:szCs w:val="24"/>
              </w:rPr>
            </w:pPr>
            <w:r w:rsidRPr="00090FE0">
              <w:rPr>
                <w:rFonts w:cstheme="minorHAnsi"/>
                <w:bCs/>
                <w:iCs/>
                <w:sz w:val="24"/>
                <w:szCs w:val="24"/>
              </w:rPr>
              <w:t xml:space="preserve">Yes </w:t>
            </w:r>
          </w:p>
        </w:tc>
        <w:tc>
          <w:tcPr>
            <w:tcW w:w="810" w:type="dxa"/>
          </w:tcPr>
          <w:p w14:paraId="0C333970"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c>
          <w:tcPr>
            <w:tcW w:w="1473" w:type="dxa"/>
          </w:tcPr>
          <w:p w14:paraId="242F25A0"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c>
          <w:tcPr>
            <w:tcW w:w="894" w:type="dxa"/>
          </w:tcPr>
          <w:p w14:paraId="3FC33DD9"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c>
          <w:tcPr>
            <w:tcW w:w="1161" w:type="dxa"/>
          </w:tcPr>
          <w:p w14:paraId="402875B0"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r>
      <w:tr w:rsidR="0073532B" w:rsidRPr="00787371" w14:paraId="39B0103D" w14:textId="77777777" w:rsidTr="00430E02">
        <w:tc>
          <w:tcPr>
            <w:tcW w:w="1167" w:type="dxa"/>
          </w:tcPr>
          <w:p w14:paraId="5521C929"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Five</w:t>
            </w:r>
          </w:p>
        </w:tc>
        <w:tc>
          <w:tcPr>
            <w:tcW w:w="1551" w:type="dxa"/>
          </w:tcPr>
          <w:p w14:paraId="0C2F1160"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State</w:t>
            </w:r>
          </w:p>
        </w:tc>
        <w:tc>
          <w:tcPr>
            <w:tcW w:w="780" w:type="dxa"/>
          </w:tcPr>
          <w:p w14:paraId="04BA3D6F"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11-18</w:t>
            </w:r>
          </w:p>
        </w:tc>
        <w:tc>
          <w:tcPr>
            <w:tcW w:w="1406" w:type="dxa"/>
          </w:tcPr>
          <w:p w14:paraId="77D38F95" w14:textId="77777777" w:rsidR="0073532B" w:rsidRPr="00090FE0" w:rsidRDefault="0073532B" w:rsidP="00582590">
            <w:pPr>
              <w:spacing w:line="276" w:lineRule="auto"/>
              <w:jc w:val="both"/>
              <w:rPr>
                <w:rFonts w:asciiTheme="minorHAnsi" w:hAnsiTheme="minorHAnsi" w:cstheme="minorHAnsi"/>
                <w:bCs/>
                <w:iCs/>
                <w:sz w:val="24"/>
                <w:szCs w:val="24"/>
              </w:rPr>
            </w:pPr>
            <w:r w:rsidRPr="00090FE0">
              <w:rPr>
                <w:rFonts w:cstheme="minorHAnsi"/>
                <w:bCs/>
                <w:iCs/>
                <w:sz w:val="24"/>
                <w:szCs w:val="24"/>
              </w:rPr>
              <w:t xml:space="preserve">Yes </w:t>
            </w:r>
          </w:p>
        </w:tc>
        <w:tc>
          <w:tcPr>
            <w:tcW w:w="810" w:type="dxa"/>
          </w:tcPr>
          <w:p w14:paraId="0A38332E"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c>
          <w:tcPr>
            <w:tcW w:w="1473" w:type="dxa"/>
          </w:tcPr>
          <w:p w14:paraId="29101C7E"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c>
          <w:tcPr>
            <w:tcW w:w="894" w:type="dxa"/>
          </w:tcPr>
          <w:p w14:paraId="6A21CAC3"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c>
          <w:tcPr>
            <w:tcW w:w="1161" w:type="dxa"/>
          </w:tcPr>
          <w:p w14:paraId="2D6C9580"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r>
      <w:tr w:rsidR="0073532B" w:rsidRPr="00787371" w14:paraId="7E5E035E" w14:textId="77777777" w:rsidTr="00430E02">
        <w:tc>
          <w:tcPr>
            <w:tcW w:w="1167" w:type="dxa"/>
          </w:tcPr>
          <w:p w14:paraId="326BCB9A"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Six</w:t>
            </w:r>
          </w:p>
        </w:tc>
        <w:tc>
          <w:tcPr>
            <w:tcW w:w="1551" w:type="dxa"/>
          </w:tcPr>
          <w:p w14:paraId="6C6EABCF"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Independent</w:t>
            </w:r>
          </w:p>
        </w:tc>
        <w:tc>
          <w:tcPr>
            <w:tcW w:w="780" w:type="dxa"/>
          </w:tcPr>
          <w:p w14:paraId="6CC20E5F"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10-18</w:t>
            </w:r>
          </w:p>
        </w:tc>
        <w:tc>
          <w:tcPr>
            <w:tcW w:w="1406" w:type="dxa"/>
          </w:tcPr>
          <w:p w14:paraId="6BAE3B2F" w14:textId="77777777" w:rsidR="0073532B" w:rsidRPr="00090FE0" w:rsidRDefault="0073532B" w:rsidP="00582590">
            <w:pPr>
              <w:spacing w:line="276" w:lineRule="auto"/>
              <w:jc w:val="both"/>
              <w:rPr>
                <w:rFonts w:asciiTheme="minorHAnsi" w:hAnsiTheme="minorHAnsi" w:cstheme="minorHAnsi"/>
                <w:bCs/>
                <w:iCs/>
                <w:sz w:val="24"/>
                <w:szCs w:val="24"/>
              </w:rPr>
            </w:pPr>
            <w:r w:rsidRPr="00090FE0">
              <w:rPr>
                <w:rFonts w:cstheme="minorHAnsi"/>
                <w:bCs/>
                <w:iCs/>
                <w:sz w:val="24"/>
                <w:szCs w:val="24"/>
              </w:rPr>
              <w:t xml:space="preserve">Yes </w:t>
            </w:r>
          </w:p>
        </w:tc>
        <w:tc>
          <w:tcPr>
            <w:tcW w:w="810" w:type="dxa"/>
          </w:tcPr>
          <w:p w14:paraId="162170D7"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c>
          <w:tcPr>
            <w:tcW w:w="1473" w:type="dxa"/>
          </w:tcPr>
          <w:p w14:paraId="1BF297D6"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c>
          <w:tcPr>
            <w:tcW w:w="894" w:type="dxa"/>
          </w:tcPr>
          <w:p w14:paraId="44B7BB44"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c>
          <w:tcPr>
            <w:tcW w:w="1161" w:type="dxa"/>
          </w:tcPr>
          <w:p w14:paraId="57980754"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r>
      <w:tr w:rsidR="0073532B" w:rsidRPr="00787371" w14:paraId="09BE0C01" w14:textId="77777777" w:rsidTr="00430E02">
        <w:tc>
          <w:tcPr>
            <w:tcW w:w="1167" w:type="dxa"/>
          </w:tcPr>
          <w:p w14:paraId="77B435E4"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Seven</w:t>
            </w:r>
          </w:p>
        </w:tc>
        <w:tc>
          <w:tcPr>
            <w:tcW w:w="1551" w:type="dxa"/>
          </w:tcPr>
          <w:p w14:paraId="578458B3"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State</w:t>
            </w:r>
          </w:p>
        </w:tc>
        <w:tc>
          <w:tcPr>
            <w:tcW w:w="780" w:type="dxa"/>
          </w:tcPr>
          <w:p w14:paraId="0B4BA206"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13-18</w:t>
            </w:r>
          </w:p>
        </w:tc>
        <w:tc>
          <w:tcPr>
            <w:tcW w:w="1406" w:type="dxa"/>
          </w:tcPr>
          <w:p w14:paraId="6F936F3B" w14:textId="77777777" w:rsidR="0073532B" w:rsidRPr="00090FE0" w:rsidRDefault="0073532B" w:rsidP="00582590">
            <w:pPr>
              <w:spacing w:line="276" w:lineRule="auto"/>
              <w:jc w:val="both"/>
              <w:rPr>
                <w:rFonts w:asciiTheme="minorHAnsi" w:hAnsiTheme="minorHAnsi" w:cstheme="minorHAnsi"/>
                <w:bCs/>
                <w:iCs/>
                <w:sz w:val="24"/>
                <w:szCs w:val="24"/>
              </w:rPr>
            </w:pPr>
            <w:r w:rsidRPr="00090FE0">
              <w:rPr>
                <w:rFonts w:cstheme="minorHAnsi"/>
                <w:bCs/>
                <w:iCs/>
                <w:sz w:val="24"/>
                <w:szCs w:val="24"/>
              </w:rPr>
              <w:t xml:space="preserve">Yes </w:t>
            </w:r>
          </w:p>
        </w:tc>
        <w:tc>
          <w:tcPr>
            <w:tcW w:w="810" w:type="dxa"/>
          </w:tcPr>
          <w:p w14:paraId="061F2D56"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c>
          <w:tcPr>
            <w:tcW w:w="1473" w:type="dxa"/>
          </w:tcPr>
          <w:p w14:paraId="751AFC4E"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c>
          <w:tcPr>
            <w:tcW w:w="894" w:type="dxa"/>
          </w:tcPr>
          <w:p w14:paraId="274E21CA"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c>
          <w:tcPr>
            <w:tcW w:w="1161" w:type="dxa"/>
          </w:tcPr>
          <w:p w14:paraId="7B731A1F"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 xml:space="preserve">Yes </w:t>
            </w:r>
          </w:p>
        </w:tc>
      </w:tr>
      <w:tr w:rsidR="0073532B" w:rsidRPr="00787371" w14:paraId="1C2AC2BC" w14:textId="77777777" w:rsidTr="00430E02">
        <w:tc>
          <w:tcPr>
            <w:tcW w:w="1167" w:type="dxa"/>
          </w:tcPr>
          <w:p w14:paraId="5ADF35D6"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Eight</w:t>
            </w:r>
          </w:p>
        </w:tc>
        <w:tc>
          <w:tcPr>
            <w:tcW w:w="1551" w:type="dxa"/>
          </w:tcPr>
          <w:p w14:paraId="40214AC7"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Independent</w:t>
            </w:r>
          </w:p>
        </w:tc>
        <w:tc>
          <w:tcPr>
            <w:tcW w:w="780" w:type="dxa"/>
          </w:tcPr>
          <w:p w14:paraId="583E8DAE"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7-18</w:t>
            </w:r>
          </w:p>
        </w:tc>
        <w:tc>
          <w:tcPr>
            <w:tcW w:w="1406" w:type="dxa"/>
          </w:tcPr>
          <w:p w14:paraId="72CE40CC" w14:textId="77777777" w:rsidR="0073532B" w:rsidRPr="00090FE0" w:rsidRDefault="0073532B" w:rsidP="00582590">
            <w:pPr>
              <w:spacing w:line="276" w:lineRule="auto"/>
              <w:jc w:val="both"/>
              <w:rPr>
                <w:rFonts w:asciiTheme="minorHAnsi" w:hAnsiTheme="minorHAnsi" w:cstheme="minorHAnsi"/>
                <w:bCs/>
                <w:iCs/>
                <w:sz w:val="24"/>
                <w:szCs w:val="24"/>
              </w:rPr>
            </w:pPr>
            <w:r w:rsidRPr="00090FE0">
              <w:rPr>
                <w:rFonts w:cstheme="minorHAnsi"/>
                <w:bCs/>
                <w:iCs/>
                <w:sz w:val="24"/>
                <w:szCs w:val="24"/>
              </w:rPr>
              <w:t xml:space="preserve">Yes </w:t>
            </w:r>
          </w:p>
        </w:tc>
        <w:tc>
          <w:tcPr>
            <w:tcW w:w="810" w:type="dxa"/>
          </w:tcPr>
          <w:p w14:paraId="6D98C439"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c>
          <w:tcPr>
            <w:tcW w:w="1473" w:type="dxa"/>
          </w:tcPr>
          <w:p w14:paraId="18ACB120"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Yes</w:t>
            </w:r>
          </w:p>
        </w:tc>
        <w:tc>
          <w:tcPr>
            <w:tcW w:w="894" w:type="dxa"/>
          </w:tcPr>
          <w:p w14:paraId="3413DA30"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c>
          <w:tcPr>
            <w:tcW w:w="1161" w:type="dxa"/>
          </w:tcPr>
          <w:p w14:paraId="78A63ACD" w14:textId="77777777" w:rsidR="0073532B" w:rsidRPr="000A4BDC" w:rsidRDefault="0073532B" w:rsidP="00582590">
            <w:pPr>
              <w:spacing w:line="276" w:lineRule="auto"/>
              <w:jc w:val="both"/>
              <w:rPr>
                <w:rFonts w:asciiTheme="minorHAnsi" w:hAnsiTheme="minorHAnsi" w:cstheme="minorHAnsi"/>
                <w:bCs/>
                <w:iCs/>
                <w:sz w:val="24"/>
                <w:szCs w:val="24"/>
              </w:rPr>
            </w:pPr>
            <w:r w:rsidRPr="000A4BDC">
              <w:rPr>
                <w:rFonts w:cstheme="minorHAnsi"/>
                <w:bCs/>
                <w:iCs/>
                <w:sz w:val="24"/>
                <w:szCs w:val="24"/>
              </w:rPr>
              <w:t>No</w:t>
            </w:r>
          </w:p>
        </w:tc>
      </w:tr>
    </w:tbl>
    <w:p w14:paraId="2F7D6E4E" w14:textId="77777777" w:rsidR="007D7B99" w:rsidRPr="000A4BDC" w:rsidRDefault="007D7B99" w:rsidP="00582590">
      <w:pPr>
        <w:spacing w:line="276" w:lineRule="auto"/>
        <w:jc w:val="both"/>
        <w:rPr>
          <w:rFonts w:cstheme="minorHAnsi"/>
          <w:sz w:val="24"/>
          <w:szCs w:val="24"/>
        </w:rPr>
      </w:pPr>
    </w:p>
    <w:p w14:paraId="79FD6F2A" w14:textId="7358E44A" w:rsidR="0073532B" w:rsidRPr="000A4BDC" w:rsidRDefault="0062373D" w:rsidP="00582590">
      <w:pPr>
        <w:spacing w:line="276" w:lineRule="auto"/>
        <w:jc w:val="both"/>
        <w:rPr>
          <w:rFonts w:cstheme="minorHAnsi"/>
          <w:b/>
          <w:sz w:val="24"/>
          <w:szCs w:val="24"/>
        </w:rPr>
      </w:pPr>
      <w:r w:rsidRPr="000A4BDC">
        <w:rPr>
          <w:rFonts w:cstheme="minorHAnsi"/>
          <w:sz w:val="24"/>
          <w:szCs w:val="24"/>
        </w:rPr>
        <w:t xml:space="preserve">This first category that emerged from the analysis of the data </w:t>
      </w:r>
      <w:r w:rsidR="0073532B" w:rsidRPr="000A4BDC">
        <w:rPr>
          <w:rFonts w:cstheme="minorHAnsi"/>
          <w:sz w:val="24"/>
          <w:szCs w:val="24"/>
        </w:rPr>
        <w:t>is around the real learning and knowledge that the SLT and the school/ college beyond them experienc</w:t>
      </w:r>
      <w:r w:rsidR="00E11FC8" w:rsidRPr="000A4BDC">
        <w:rPr>
          <w:rFonts w:cstheme="minorHAnsi"/>
          <w:sz w:val="24"/>
          <w:szCs w:val="24"/>
        </w:rPr>
        <w:t xml:space="preserve">ed.  The </w:t>
      </w:r>
      <w:r w:rsidR="0036570B" w:rsidRPr="000A4BDC">
        <w:rPr>
          <w:rFonts w:cstheme="minorHAnsi"/>
          <w:sz w:val="24"/>
          <w:szCs w:val="24"/>
        </w:rPr>
        <w:t>connected sub-category concerned the identification of the IBDP</w:t>
      </w:r>
      <w:r w:rsidRPr="000A4BDC">
        <w:rPr>
          <w:rFonts w:cstheme="minorHAnsi"/>
          <w:sz w:val="24"/>
          <w:szCs w:val="24"/>
        </w:rPr>
        <w:t xml:space="preserve"> (What is the IB</w:t>
      </w:r>
      <w:r w:rsidR="0073532B" w:rsidRPr="000A4BDC">
        <w:rPr>
          <w:rFonts w:cstheme="minorHAnsi"/>
          <w:sz w:val="24"/>
          <w:szCs w:val="24"/>
        </w:rPr>
        <w:t xml:space="preserve">DP? How is it really different?) </w:t>
      </w:r>
      <w:r w:rsidR="0036570B" w:rsidRPr="000A4BDC">
        <w:rPr>
          <w:rFonts w:cstheme="minorHAnsi"/>
          <w:sz w:val="24"/>
          <w:szCs w:val="24"/>
        </w:rPr>
        <w:t xml:space="preserve">as </w:t>
      </w:r>
      <w:r w:rsidR="0073532B" w:rsidRPr="000A4BDC">
        <w:rPr>
          <w:rFonts w:cstheme="minorHAnsi"/>
          <w:sz w:val="24"/>
          <w:szCs w:val="24"/>
        </w:rPr>
        <w:t xml:space="preserve">different from the </w:t>
      </w:r>
      <w:r w:rsidR="00D91A6A" w:rsidRPr="00D026CA">
        <w:rPr>
          <w:rFonts w:cstheme="minorHAnsi"/>
          <w:sz w:val="24"/>
          <w:szCs w:val="24"/>
        </w:rPr>
        <w:t xml:space="preserve">from the </w:t>
      </w:r>
      <w:r w:rsidR="00D91A6A" w:rsidRPr="00090FE0">
        <w:rPr>
          <w:rFonts w:cstheme="minorHAnsi"/>
          <w:sz w:val="24"/>
          <w:szCs w:val="24"/>
        </w:rPr>
        <w:t>mainstream provision</w:t>
      </w:r>
      <w:r w:rsidR="00011EC8" w:rsidRPr="00090FE0">
        <w:rPr>
          <w:rFonts w:cstheme="minorHAnsi"/>
          <w:sz w:val="24"/>
          <w:szCs w:val="24"/>
        </w:rPr>
        <w:t xml:space="preserve"> </w:t>
      </w:r>
      <w:r w:rsidR="0073532B" w:rsidRPr="000A4BDC">
        <w:rPr>
          <w:rFonts w:cstheme="minorHAnsi"/>
          <w:sz w:val="24"/>
          <w:szCs w:val="24"/>
        </w:rPr>
        <w:t xml:space="preserve">of the Pre U and A Levels.  Senior staff (across both sectors) all, without exception, referred to the </w:t>
      </w:r>
      <w:r w:rsidR="00E11FC8" w:rsidRPr="000A4BDC">
        <w:rPr>
          <w:rFonts w:cstheme="minorHAnsi"/>
          <w:sz w:val="24"/>
          <w:szCs w:val="24"/>
        </w:rPr>
        <w:t>IB</w:t>
      </w:r>
      <w:r w:rsidR="0073532B" w:rsidRPr="000A4BDC">
        <w:rPr>
          <w:rFonts w:cstheme="minorHAnsi"/>
          <w:sz w:val="24"/>
          <w:szCs w:val="24"/>
        </w:rPr>
        <w:t>DP as giving some variation on the comment that ‘</w:t>
      </w:r>
      <w:r w:rsidR="0073532B" w:rsidRPr="000A4BDC">
        <w:rPr>
          <w:rFonts w:cstheme="minorHAnsi"/>
          <w:i/>
          <w:sz w:val="24"/>
          <w:szCs w:val="24"/>
        </w:rPr>
        <w:t xml:space="preserve">breadth </w:t>
      </w:r>
      <w:r w:rsidR="00087739" w:rsidRPr="000A4BDC">
        <w:rPr>
          <w:rFonts w:cstheme="minorHAnsi"/>
          <w:i/>
          <w:sz w:val="24"/>
          <w:szCs w:val="24"/>
        </w:rPr>
        <w:t xml:space="preserve">of understanding </w:t>
      </w:r>
      <w:r w:rsidR="0073532B" w:rsidRPr="000A4BDC">
        <w:rPr>
          <w:rFonts w:cstheme="minorHAnsi"/>
          <w:i/>
          <w:sz w:val="24"/>
          <w:szCs w:val="24"/>
        </w:rPr>
        <w:t>that 3 A Levels don’t</w:t>
      </w:r>
      <w:r w:rsidR="0073532B" w:rsidRPr="000A4BDC">
        <w:rPr>
          <w:rFonts w:cstheme="minorHAnsi"/>
          <w:sz w:val="24"/>
          <w:szCs w:val="24"/>
        </w:rPr>
        <w:t>’ offer/give, whereas some staff qualified this w</w:t>
      </w:r>
      <w:r w:rsidR="00E11FC8" w:rsidRPr="000A4BDC">
        <w:rPr>
          <w:rFonts w:cstheme="minorHAnsi"/>
          <w:sz w:val="24"/>
          <w:szCs w:val="24"/>
        </w:rPr>
        <w:t>ith the level of depth of HL</w:t>
      </w:r>
      <w:r w:rsidR="00DD3B28" w:rsidRPr="000A4BDC">
        <w:rPr>
          <w:rFonts w:cstheme="minorHAnsi"/>
          <w:sz w:val="24"/>
          <w:szCs w:val="24"/>
        </w:rPr>
        <w:t xml:space="preserve"> (Higher Level)</w:t>
      </w:r>
      <w:r w:rsidR="00E11FC8" w:rsidRPr="000A4BDC">
        <w:rPr>
          <w:rFonts w:cstheme="minorHAnsi"/>
          <w:sz w:val="24"/>
          <w:szCs w:val="24"/>
        </w:rPr>
        <w:t xml:space="preserve"> being </w:t>
      </w:r>
      <w:r w:rsidR="0073532B" w:rsidRPr="000A4BDC">
        <w:rPr>
          <w:rFonts w:cstheme="minorHAnsi"/>
          <w:sz w:val="24"/>
          <w:szCs w:val="24"/>
        </w:rPr>
        <w:t>not qu</w:t>
      </w:r>
      <w:r w:rsidR="000073D7" w:rsidRPr="000A4BDC">
        <w:rPr>
          <w:rFonts w:cstheme="minorHAnsi"/>
          <w:sz w:val="24"/>
          <w:szCs w:val="24"/>
        </w:rPr>
        <w:t>ite the same as an A Level.</w:t>
      </w:r>
      <w:r w:rsidR="00042243" w:rsidRPr="000A4BDC">
        <w:rPr>
          <w:rFonts w:cstheme="minorHAnsi"/>
          <w:b/>
          <w:color w:val="FF0000"/>
          <w:sz w:val="24"/>
          <w:szCs w:val="24"/>
        </w:rPr>
        <w:t xml:space="preserve"> </w:t>
      </w:r>
      <w:r w:rsidR="0073532B" w:rsidRPr="000A4BDC">
        <w:rPr>
          <w:rFonts w:cstheme="minorHAnsi"/>
          <w:sz w:val="24"/>
          <w:szCs w:val="24"/>
        </w:rPr>
        <w:t>The only additional qualifier here from staff came when discussing requirements of Russell Group universities for STEM subjects: ‘</w:t>
      </w:r>
      <w:r w:rsidR="0073532B" w:rsidRPr="000A4BDC">
        <w:rPr>
          <w:rFonts w:cstheme="minorHAnsi"/>
          <w:i/>
          <w:sz w:val="24"/>
          <w:szCs w:val="24"/>
        </w:rPr>
        <w:t>the only real rationale for doing A Levels in Maths and</w:t>
      </w:r>
      <w:r w:rsidR="00E11FC8" w:rsidRPr="000A4BDC">
        <w:rPr>
          <w:rFonts w:cstheme="minorHAnsi"/>
          <w:i/>
          <w:sz w:val="24"/>
          <w:szCs w:val="24"/>
        </w:rPr>
        <w:t xml:space="preserve"> Physics now is that [the IB</w:t>
      </w:r>
      <w:r w:rsidR="0073532B" w:rsidRPr="000A4BDC">
        <w:rPr>
          <w:rFonts w:cstheme="minorHAnsi"/>
          <w:i/>
          <w:sz w:val="24"/>
          <w:szCs w:val="24"/>
        </w:rPr>
        <w:t>DP] HL</w:t>
      </w:r>
      <w:r w:rsidR="004A15F2" w:rsidRPr="000A4BDC">
        <w:rPr>
          <w:rFonts w:cstheme="minorHAnsi"/>
          <w:i/>
          <w:sz w:val="24"/>
          <w:szCs w:val="24"/>
        </w:rPr>
        <w:t xml:space="preserve"> (Higher Level)</w:t>
      </w:r>
      <w:r w:rsidR="0073532B" w:rsidRPr="000A4BDC">
        <w:rPr>
          <w:rFonts w:cstheme="minorHAnsi"/>
          <w:i/>
          <w:sz w:val="24"/>
          <w:szCs w:val="24"/>
        </w:rPr>
        <w:t xml:space="preserve"> in those subjects is not quite as detailed [as the A Levels]</w:t>
      </w:r>
      <w:r w:rsidR="0073532B" w:rsidRPr="000A4BDC">
        <w:rPr>
          <w:rFonts w:cstheme="minorHAnsi"/>
          <w:sz w:val="24"/>
          <w:szCs w:val="24"/>
        </w:rPr>
        <w:t>’, but the benefits were still thought to out-weigh the disadvantages: ‘</w:t>
      </w:r>
      <w:r w:rsidR="0073532B" w:rsidRPr="000A4BDC">
        <w:rPr>
          <w:rFonts w:cstheme="minorHAnsi"/>
          <w:i/>
          <w:sz w:val="24"/>
          <w:szCs w:val="24"/>
        </w:rPr>
        <w:t xml:space="preserve">so it may mean that the </w:t>
      </w:r>
      <w:r w:rsidR="00441EAF" w:rsidRPr="000A4BDC">
        <w:rPr>
          <w:rFonts w:cstheme="minorHAnsi"/>
          <w:i/>
          <w:sz w:val="24"/>
          <w:szCs w:val="24"/>
        </w:rPr>
        <w:t>IB</w:t>
      </w:r>
      <w:r w:rsidR="0073532B" w:rsidRPr="000A4BDC">
        <w:rPr>
          <w:rFonts w:cstheme="minorHAnsi"/>
          <w:i/>
          <w:sz w:val="24"/>
          <w:szCs w:val="24"/>
        </w:rPr>
        <w:t>DP student has to work harder than the A Level student, but look at what they bring to the table: better essay writing skills from TO</w:t>
      </w:r>
      <w:r w:rsidR="00087739" w:rsidRPr="000A4BDC">
        <w:rPr>
          <w:rFonts w:cstheme="minorHAnsi"/>
          <w:i/>
          <w:sz w:val="24"/>
          <w:szCs w:val="24"/>
        </w:rPr>
        <w:t>K</w:t>
      </w:r>
      <w:r w:rsidR="00DD3B28" w:rsidRPr="000A4BDC">
        <w:rPr>
          <w:rFonts w:cstheme="minorHAnsi"/>
          <w:i/>
          <w:sz w:val="24"/>
          <w:szCs w:val="24"/>
        </w:rPr>
        <w:t xml:space="preserve"> (Theory of Knowledge)</w:t>
      </w:r>
      <w:r w:rsidR="0073532B" w:rsidRPr="000A4BDC">
        <w:rPr>
          <w:rFonts w:cstheme="minorHAnsi"/>
          <w:i/>
          <w:sz w:val="24"/>
          <w:szCs w:val="24"/>
        </w:rPr>
        <w:t>, better well-rounded ability from CAS</w:t>
      </w:r>
      <w:r w:rsidR="00B35821" w:rsidRPr="000A4BDC">
        <w:rPr>
          <w:rFonts w:cstheme="minorHAnsi"/>
          <w:i/>
          <w:sz w:val="24"/>
          <w:szCs w:val="24"/>
        </w:rPr>
        <w:t xml:space="preserve"> (Creativity, Action, Service)</w:t>
      </w:r>
      <w:r w:rsidR="0073532B" w:rsidRPr="000A4BDC">
        <w:rPr>
          <w:rFonts w:cstheme="minorHAnsi"/>
          <w:i/>
          <w:sz w:val="24"/>
          <w:szCs w:val="24"/>
        </w:rPr>
        <w:t>, better language and social science skills to put their scientific research into a wider context from having kept all of those additional subjects going, does that make them a better scientific undergraduate? No, not in their first year, but does it make them a better scientific researcher longer term? Yes, it very much does</w:t>
      </w:r>
      <w:r w:rsidR="000073D7" w:rsidRPr="000A4BDC">
        <w:rPr>
          <w:rFonts w:cstheme="minorHAnsi"/>
          <w:sz w:val="24"/>
          <w:szCs w:val="24"/>
        </w:rPr>
        <w:t>’</w:t>
      </w:r>
      <w:r w:rsidR="00AE17D0" w:rsidRPr="000A4BDC">
        <w:rPr>
          <w:rFonts w:cstheme="minorHAnsi"/>
          <w:sz w:val="24"/>
          <w:szCs w:val="24"/>
        </w:rPr>
        <w:t xml:space="preserve"> (</w:t>
      </w:r>
      <w:r w:rsidR="00087739" w:rsidRPr="000A4BDC">
        <w:rPr>
          <w:rFonts w:cstheme="minorHAnsi"/>
          <w:sz w:val="24"/>
          <w:szCs w:val="24"/>
        </w:rPr>
        <w:t xml:space="preserve">Head at </w:t>
      </w:r>
      <w:r w:rsidR="00AE17D0" w:rsidRPr="000A4BDC">
        <w:rPr>
          <w:rFonts w:cstheme="minorHAnsi"/>
          <w:sz w:val="24"/>
          <w:szCs w:val="24"/>
        </w:rPr>
        <w:t>Centre 2)</w:t>
      </w:r>
      <w:r w:rsidR="000073D7" w:rsidRPr="000A4BDC">
        <w:rPr>
          <w:rFonts w:cstheme="minorHAnsi"/>
          <w:sz w:val="24"/>
          <w:szCs w:val="24"/>
        </w:rPr>
        <w:t>.</w:t>
      </w:r>
    </w:p>
    <w:p w14:paraId="7FA28419" w14:textId="5BBDBB86" w:rsidR="009E68F4" w:rsidRPr="00D026CA" w:rsidRDefault="00526A2F" w:rsidP="00D026CA">
      <w:pPr>
        <w:pStyle w:val="CommentText"/>
        <w:spacing w:line="276" w:lineRule="auto"/>
        <w:jc w:val="both"/>
        <w:rPr>
          <w:rFonts w:cstheme="minorHAnsi"/>
          <w:sz w:val="24"/>
          <w:szCs w:val="24"/>
        </w:rPr>
      </w:pPr>
      <w:r w:rsidRPr="000A4BDC">
        <w:rPr>
          <w:rFonts w:cstheme="minorHAnsi"/>
          <w:sz w:val="24"/>
          <w:szCs w:val="24"/>
        </w:rPr>
        <w:t>T</w:t>
      </w:r>
      <w:r w:rsidR="00887D01" w:rsidRPr="000A4BDC">
        <w:rPr>
          <w:rFonts w:cstheme="minorHAnsi"/>
          <w:sz w:val="24"/>
          <w:szCs w:val="24"/>
        </w:rPr>
        <w:t>he second category is</w:t>
      </w:r>
      <w:r w:rsidRPr="000A4BDC">
        <w:rPr>
          <w:rFonts w:cstheme="minorHAnsi"/>
          <w:sz w:val="24"/>
          <w:szCs w:val="24"/>
        </w:rPr>
        <w:t xml:space="preserve"> related to</w:t>
      </w:r>
      <w:r w:rsidR="0073532B" w:rsidRPr="000A4BDC">
        <w:rPr>
          <w:rFonts w:cstheme="minorHAnsi"/>
          <w:sz w:val="24"/>
          <w:szCs w:val="24"/>
        </w:rPr>
        <w:t xml:space="preserve"> the rel</w:t>
      </w:r>
      <w:r w:rsidR="00887D01" w:rsidRPr="000A4BDC">
        <w:rPr>
          <w:rFonts w:cstheme="minorHAnsi"/>
          <w:sz w:val="24"/>
          <w:szCs w:val="24"/>
        </w:rPr>
        <w:t>evance of the programme to the eight</w:t>
      </w:r>
      <w:r w:rsidR="0073532B" w:rsidRPr="000A4BDC">
        <w:rPr>
          <w:rFonts w:cstheme="minorHAnsi"/>
          <w:sz w:val="24"/>
          <w:szCs w:val="24"/>
        </w:rPr>
        <w:t xml:space="preserve"> centre</w:t>
      </w:r>
      <w:r w:rsidR="00887D01" w:rsidRPr="000A4BDC">
        <w:rPr>
          <w:rFonts w:cstheme="minorHAnsi"/>
          <w:sz w:val="24"/>
          <w:szCs w:val="24"/>
        </w:rPr>
        <w:t>s. F</w:t>
      </w:r>
      <w:r w:rsidR="0073532B" w:rsidRPr="000A4BDC">
        <w:rPr>
          <w:rFonts w:cstheme="minorHAnsi"/>
          <w:sz w:val="24"/>
          <w:szCs w:val="24"/>
        </w:rPr>
        <w:t xml:space="preserve">or some centres (the </w:t>
      </w:r>
      <w:r w:rsidR="00087739" w:rsidRPr="000A4BDC">
        <w:rPr>
          <w:rFonts w:cstheme="minorHAnsi"/>
          <w:sz w:val="24"/>
          <w:szCs w:val="24"/>
        </w:rPr>
        <w:t>‘</w:t>
      </w:r>
      <w:r w:rsidR="0073532B" w:rsidRPr="000A4BDC">
        <w:rPr>
          <w:rFonts w:cstheme="minorHAnsi"/>
          <w:sz w:val="24"/>
          <w:szCs w:val="24"/>
        </w:rPr>
        <w:t>early adopters</w:t>
      </w:r>
      <w:r w:rsidR="00087739" w:rsidRPr="000A4BDC">
        <w:rPr>
          <w:rFonts w:cstheme="minorHAnsi"/>
          <w:sz w:val="24"/>
          <w:szCs w:val="24"/>
        </w:rPr>
        <w:t xml:space="preserve">’ in </w:t>
      </w:r>
      <w:r w:rsidR="0073532B" w:rsidRPr="000A4BDC">
        <w:rPr>
          <w:rFonts w:cstheme="minorHAnsi"/>
          <w:sz w:val="24"/>
          <w:szCs w:val="24"/>
        </w:rPr>
        <w:t xml:space="preserve"> Centres 6, 7, and 8) the relevance of the DP had been entrenched and they could not imagine life without that level </w:t>
      </w:r>
      <w:r w:rsidR="00011EC8" w:rsidRPr="00D026CA">
        <w:rPr>
          <w:rFonts w:cstheme="minorHAnsi"/>
          <w:sz w:val="24"/>
          <w:szCs w:val="24"/>
        </w:rPr>
        <w:t xml:space="preserve"> </w:t>
      </w:r>
      <w:r w:rsidR="00D91A6A" w:rsidRPr="00090FE0">
        <w:rPr>
          <w:rFonts w:cstheme="minorHAnsi"/>
          <w:sz w:val="24"/>
          <w:szCs w:val="24"/>
        </w:rPr>
        <w:t>of choice</w:t>
      </w:r>
      <w:r w:rsidR="0073532B" w:rsidRPr="000A4BDC">
        <w:rPr>
          <w:rFonts w:cstheme="minorHAnsi"/>
          <w:sz w:val="24"/>
          <w:szCs w:val="24"/>
        </w:rPr>
        <w:t xml:space="preserve"> </w:t>
      </w:r>
      <w:r w:rsidR="00D91A6A" w:rsidRPr="00D026CA">
        <w:rPr>
          <w:rFonts w:cstheme="minorHAnsi"/>
          <w:sz w:val="24"/>
          <w:szCs w:val="24"/>
        </w:rPr>
        <w:t>curricula choice</w:t>
      </w:r>
      <w:r w:rsidR="0073532B" w:rsidRPr="000A4BDC">
        <w:rPr>
          <w:rFonts w:cstheme="minorHAnsi"/>
          <w:sz w:val="24"/>
          <w:szCs w:val="24"/>
        </w:rPr>
        <w:t>, or what might be termed, ‘discretion’</w:t>
      </w:r>
      <w:r w:rsidR="0036570B" w:rsidRPr="000A4BDC">
        <w:rPr>
          <w:rFonts w:cstheme="minorHAnsi"/>
          <w:sz w:val="24"/>
          <w:szCs w:val="24"/>
        </w:rPr>
        <w:t>,</w:t>
      </w:r>
      <w:r w:rsidR="0073532B" w:rsidRPr="000A4BDC">
        <w:rPr>
          <w:rFonts w:cstheme="minorHAnsi"/>
          <w:sz w:val="24"/>
          <w:szCs w:val="24"/>
        </w:rPr>
        <w:t xml:space="preserve"> for being able to allocate stu</w:t>
      </w:r>
      <w:r w:rsidR="00945E9A" w:rsidRPr="000A4BDC">
        <w:rPr>
          <w:rFonts w:cstheme="minorHAnsi"/>
          <w:sz w:val="24"/>
          <w:szCs w:val="24"/>
        </w:rPr>
        <w:t>dents on to particular pathways</w:t>
      </w:r>
      <w:r w:rsidR="0073532B" w:rsidRPr="000A4BDC">
        <w:rPr>
          <w:rFonts w:cstheme="minorHAnsi"/>
          <w:sz w:val="24"/>
          <w:szCs w:val="24"/>
        </w:rPr>
        <w:t xml:space="preserve"> that create alternative biographical trajectories.  But for other schools/ colleges </w:t>
      </w:r>
      <w:r w:rsidR="00D91A6A" w:rsidRPr="00D026CA">
        <w:rPr>
          <w:rFonts w:cstheme="minorHAnsi"/>
          <w:sz w:val="24"/>
          <w:szCs w:val="24"/>
        </w:rPr>
        <w:t xml:space="preserve">the </w:t>
      </w:r>
      <w:r w:rsidR="00D91A6A" w:rsidRPr="00090FE0">
        <w:rPr>
          <w:rFonts w:cstheme="minorHAnsi"/>
          <w:sz w:val="24"/>
          <w:szCs w:val="24"/>
        </w:rPr>
        <w:t>relevance of choice</w:t>
      </w:r>
      <w:r w:rsidR="008E4EC9" w:rsidRPr="000A4BDC">
        <w:rPr>
          <w:rFonts w:cstheme="minorHAnsi"/>
          <w:sz w:val="24"/>
          <w:szCs w:val="24"/>
        </w:rPr>
        <w:t xml:space="preserve"> </w:t>
      </w:r>
      <w:r w:rsidR="00D91A6A" w:rsidRPr="00D026CA">
        <w:rPr>
          <w:rFonts w:cstheme="minorHAnsi"/>
          <w:sz w:val="24"/>
          <w:szCs w:val="24"/>
        </w:rPr>
        <w:t>the relevance of t</w:t>
      </w:r>
      <w:r w:rsidR="00413762">
        <w:rPr>
          <w:rFonts w:cstheme="minorHAnsi"/>
          <w:sz w:val="24"/>
          <w:szCs w:val="24"/>
        </w:rPr>
        <w:t xml:space="preserve">he choice of curricula options </w:t>
      </w:r>
      <w:r w:rsidR="00D91A6A" w:rsidRPr="00D026CA">
        <w:rPr>
          <w:rFonts w:cstheme="minorHAnsi"/>
          <w:sz w:val="24"/>
          <w:szCs w:val="24"/>
        </w:rPr>
        <w:t xml:space="preserve">(and now lack of that </w:t>
      </w:r>
      <w:r w:rsidR="00D91A6A" w:rsidRPr="00D026CA">
        <w:rPr>
          <w:rFonts w:cstheme="minorHAnsi"/>
          <w:sz w:val="24"/>
          <w:szCs w:val="24"/>
        </w:rPr>
        <w:lastRenderedPageBreak/>
        <w:t xml:space="preserve">choice in Centres 1 and 3) brought home a strong sense of relevance around the rationale for </w:t>
      </w:r>
      <w:r w:rsidR="00D91A6A" w:rsidRPr="00D026CA">
        <w:rPr>
          <w:rFonts w:cstheme="minorHAnsi"/>
          <w:i/>
          <w:sz w:val="24"/>
          <w:szCs w:val="24"/>
        </w:rPr>
        <w:t>why</w:t>
      </w:r>
      <w:r w:rsidR="00D91A6A" w:rsidRPr="00D026CA">
        <w:rPr>
          <w:rFonts w:cstheme="minorHAnsi"/>
          <w:sz w:val="24"/>
          <w:szCs w:val="24"/>
        </w:rPr>
        <w:t xml:space="preserve"> it had been chosen in the first place. Overall, SLT positions from the independent sectors were polarised around the theme of offering a curriculum that they perceive as being right for their student body, supported by a student and parent demand for the IBDP. This attitude is influenced by the profit making industry in which independent schools operate (although within the confines of charitable status), whereby even small independent day schools have to run at a low profit.  If not successful, SLT</w:t>
      </w:r>
      <w:r w:rsidR="00B9568C" w:rsidRPr="000A4BDC">
        <w:rPr>
          <w:rFonts w:cstheme="minorHAnsi"/>
          <w:sz w:val="24"/>
          <w:szCs w:val="24"/>
        </w:rPr>
        <w:t>s</w:t>
      </w:r>
      <w:r w:rsidR="00D91A6A" w:rsidRPr="00D026CA">
        <w:rPr>
          <w:rFonts w:cstheme="minorHAnsi"/>
          <w:sz w:val="24"/>
          <w:szCs w:val="24"/>
        </w:rPr>
        <w:t xml:space="preserve"> agree</w:t>
      </w:r>
      <w:r w:rsidR="00B9568C" w:rsidRPr="000A4BDC">
        <w:rPr>
          <w:rFonts w:cstheme="minorHAnsi"/>
          <w:sz w:val="24"/>
          <w:szCs w:val="24"/>
        </w:rPr>
        <w:t>d</w:t>
      </w:r>
      <w:r w:rsidR="00D91A6A" w:rsidRPr="00D026CA">
        <w:rPr>
          <w:rFonts w:cstheme="minorHAnsi"/>
          <w:sz w:val="24"/>
          <w:szCs w:val="24"/>
        </w:rPr>
        <w:t xml:space="preserve"> that they would withdraw the programme. However, despite not much effort or resources have been dedicated to advertising, the demand for the IBDP continues to grow. From the state sectors there was a palpable sense of respect for the qualification; the SLT</w:t>
      </w:r>
      <w:r w:rsidR="00B9568C" w:rsidRPr="000A4BDC">
        <w:rPr>
          <w:rFonts w:cstheme="minorHAnsi"/>
          <w:sz w:val="24"/>
          <w:szCs w:val="24"/>
        </w:rPr>
        <w:t>s</w:t>
      </w:r>
      <w:r w:rsidR="00D91A6A" w:rsidRPr="00D026CA">
        <w:rPr>
          <w:rFonts w:cstheme="minorHAnsi"/>
          <w:sz w:val="24"/>
          <w:szCs w:val="24"/>
        </w:rPr>
        <w:t xml:space="preserve"> interviewed mentioned the lack of government interference, the breadth of the curriculum, the wider opportunities and the greater confidence levels provided to the students. </w:t>
      </w:r>
    </w:p>
    <w:p w14:paraId="18B2A653" w14:textId="77777777" w:rsidR="0097399D" w:rsidRPr="000A4BDC" w:rsidRDefault="00945E9A" w:rsidP="00582590">
      <w:pPr>
        <w:spacing w:line="276" w:lineRule="auto"/>
        <w:jc w:val="both"/>
        <w:rPr>
          <w:rFonts w:cstheme="minorHAnsi"/>
          <w:sz w:val="24"/>
          <w:szCs w:val="24"/>
        </w:rPr>
      </w:pPr>
      <w:r w:rsidRPr="000A4BDC">
        <w:rPr>
          <w:rFonts w:cstheme="minorHAnsi"/>
          <w:sz w:val="24"/>
          <w:szCs w:val="24"/>
        </w:rPr>
        <w:t xml:space="preserve">One recurring theme was </w:t>
      </w:r>
      <w:r w:rsidR="0097399D" w:rsidRPr="000A4BDC">
        <w:rPr>
          <w:rFonts w:cstheme="minorHAnsi"/>
          <w:sz w:val="24"/>
          <w:szCs w:val="24"/>
        </w:rPr>
        <w:t>the lack of gen</w:t>
      </w:r>
      <w:r w:rsidR="0005706E" w:rsidRPr="000A4BDC">
        <w:rPr>
          <w:rFonts w:cstheme="minorHAnsi"/>
          <w:sz w:val="24"/>
          <w:szCs w:val="24"/>
        </w:rPr>
        <w:t>uine opportunity to introduce or to allow the IBDP to</w:t>
      </w:r>
      <w:r w:rsidR="0097399D" w:rsidRPr="000A4BDC">
        <w:rPr>
          <w:rFonts w:cstheme="minorHAnsi"/>
          <w:sz w:val="24"/>
          <w:szCs w:val="24"/>
        </w:rPr>
        <w:t xml:space="preserve"> properly </w:t>
      </w:r>
      <w:r w:rsidR="0089615A" w:rsidRPr="000A4BDC">
        <w:rPr>
          <w:rFonts w:cstheme="minorHAnsi"/>
          <w:sz w:val="24"/>
          <w:szCs w:val="24"/>
        </w:rPr>
        <w:t xml:space="preserve">succeed in the state sector. </w:t>
      </w:r>
      <w:r w:rsidR="0005706E" w:rsidRPr="000A4BDC">
        <w:rPr>
          <w:rFonts w:cstheme="minorHAnsi"/>
          <w:sz w:val="24"/>
          <w:szCs w:val="24"/>
        </w:rPr>
        <w:t>From this perspectiv</w:t>
      </w:r>
      <w:r w:rsidRPr="000A4BDC">
        <w:rPr>
          <w:rFonts w:cstheme="minorHAnsi"/>
          <w:sz w:val="24"/>
          <w:szCs w:val="24"/>
        </w:rPr>
        <w:t>e, respondents lamented inappropriate levels of funding, the need to raise</w:t>
      </w:r>
      <w:r w:rsidR="0005706E" w:rsidRPr="000A4BDC">
        <w:rPr>
          <w:rFonts w:cstheme="minorHAnsi"/>
          <w:sz w:val="24"/>
          <w:szCs w:val="24"/>
        </w:rPr>
        <w:t xml:space="preserve"> </w:t>
      </w:r>
      <w:r w:rsidR="0097399D" w:rsidRPr="000A4BDC">
        <w:rPr>
          <w:rFonts w:cstheme="minorHAnsi"/>
          <w:sz w:val="24"/>
          <w:szCs w:val="24"/>
        </w:rPr>
        <w:t>parental understanding,</w:t>
      </w:r>
      <w:r w:rsidR="0005706E" w:rsidRPr="000A4BDC">
        <w:rPr>
          <w:rFonts w:cstheme="minorHAnsi"/>
          <w:sz w:val="24"/>
          <w:szCs w:val="24"/>
        </w:rPr>
        <w:t xml:space="preserve"> and</w:t>
      </w:r>
      <w:r w:rsidRPr="000A4BDC">
        <w:rPr>
          <w:rFonts w:cstheme="minorHAnsi"/>
          <w:sz w:val="24"/>
          <w:szCs w:val="24"/>
        </w:rPr>
        <w:t xml:space="preserve"> in particular</w:t>
      </w:r>
      <w:r w:rsidR="0005706E" w:rsidRPr="000A4BDC">
        <w:rPr>
          <w:rFonts w:cstheme="minorHAnsi"/>
          <w:sz w:val="24"/>
          <w:szCs w:val="24"/>
        </w:rPr>
        <w:t xml:space="preserve"> the absenc</w:t>
      </w:r>
      <w:r w:rsidRPr="000A4BDC">
        <w:rPr>
          <w:rFonts w:cstheme="minorHAnsi"/>
          <w:sz w:val="24"/>
          <w:szCs w:val="24"/>
        </w:rPr>
        <w:t>e of clear indications from universities</w:t>
      </w:r>
      <w:r w:rsidR="0005706E" w:rsidRPr="000A4BDC">
        <w:rPr>
          <w:rFonts w:cstheme="minorHAnsi"/>
          <w:sz w:val="24"/>
          <w:szCs w:val="24"/>
        </w:rPr>
        <w:t xml:space="preserve"> on whether the IBDP represents a</w:t>
      </w:r>
      <w:r w:rsidRPr="000A4BDC">
        <w:rPr>
          <w:rFonts w:cstheme="minorHAnsi"/>
          <w:sz w:val="24"/>
          <w:szCs w:val="24"/>
        </w:rPr>
        <w:t xml:space="preserve"> favourable route for access to higher education. These factors place state schools at a disadvantage</w:t>
      </w:r>
      <w:r w:rsidR="0097399D" w:rsidRPr="000A4BDC">
        <w:rPr>
          <w:rFonts w:cstheme="minorHAnsi"/>
          <w:sz w:val="24"/>
          <w:szCs w:val="24"/>
        </w:rPr>
        <w:t xml:space="preserve">, </w:t>
      </w:r>
      <w:r w:rsidRPr="000A4BDC">
        <w:rPr>
          <w:rFonts w:cstheme="minorHAnsi"/>
          <w:sz w:val="24"/>
          <w:szCs w:val="24"/>
        </w:rPr>
        <w:t>a situation summarised by the Head of one of the independent schools</w:t>
      </w:r>
      <w:r w:rsidR="00AE17D0" w:rsidRPr="000A4BDC">
        <w:rPr>
          <w:rFonts w:cstheme="minorHAnsi"/>
          <w:sz w:val="24"/>
          <w:szCs w:val="24"/>
        </w:rPr>
        <w:t xml:space="preserve"> (Centre 4)</w:t>
      </w:r>
      <w:r w:rsidRPr="000A4BDC">
        <w:rPr>
          <w:rFonts w:cstheme="minorHAnsi"/>
          <w:sz w:val="24"/>
          <w:szCs w:val="24"/>
        </w:rPr>
        <w:t xml:space="preserve">: </w:t>
      </w:r>
      <w:r w:rsidR="0097399D" w:rsidRPr="000A4BDC">
        <w:rPr>
          <w:rFonts w:cstheme="minorHAnsi"/>
          <w:sz w:val="24"/>
          <w:szCs w:val="24"/>
        </w:rPr>
        <w:t>‘</w:t>
      </w:r>
      <w:r w:rsidR="0097399D" w:rsidRPr="000A4BDC">
        <w:rPr>
          <w:rFonts w:cstheme="minorHAnsi"/>
          <w:i/>
          <w:iCs/>
          <w:sz w:val="24"/>
          <w:szCs w:val="24"/>
        </w:rPr>
        <w:t>the world has moved-on, unless you really want to do four in-depth sciences, you should be doing the IB it is the only qualification available that prepares students properly f</w:t>
      </w:r>
      <w:r w:rsidRPr="000A4BDC">
        <w:rPr>
          <w:rFonts w:cstheme="minorHAnsi"/>
          <w:i/>
          <w:iCs/>
          <w:sz w:val="24"/>
          <w:szCs w:val="24"/>
        </w:rPr>
        <w:t>or their futures’.</w:t>
      </w:r>
    </w:p>
    <w:p w14:paraId="18A37FB8" w14:textId="5EA3E564" w:rsidR="0073532B" w:rsidRPr="000A4BDC" w:rsidRDefault="0073532B" w:rsidP="00582590">
      <w:pPr>
        <w:spacing w:line="276" w:lineRule="auto"/>
        <w:jc w:val="both"/>
        <w:rPr>
          <w:rFonts w:cstheme="minorHAnsi"/>
          <w:sz w:val="24"/>
          <w:szCs w:val="24"/>
        </w:rPr>
      </w:pPr>
      <w:r w:rsidRPr="000A4BDC">
        <w:rPr>
          <w:rFonts w:cstheme="minorHAnsi"/>
          <w:sz w:val="24"/>
          <w:szCs w:val="24"/>
        </w:rPr>
        <w:t>The third inductively derived statement</w:t>
      </w:r>
      <w:r w:rsidR="0062373D" w:rsidRPr="000A4BDC">
        <w:rPr>
          <w:rFonts w:cstheme="minorHAnsi"/>
          <w:sz w:val="24"/>
          <w:szCs w:val="24"/>
        </w:rPr>
        <w:t xml:space="preserve"> in this analysis revolves around parental choice</w:t>
      </w:r>
      <w:r w:rsidRPr="000A4BDC">
        <w:rPr>
          <w:rFonts w:cstheme="minorHAnsi"/>
          <w:sz w:val="24"/>
          <w:szCs w:val="24"/>
        </w:rPr>
        <w:t>: ‘Do our students/ parents want it?’, as this is the area where views polarized from ‘</w:t>
      </w:r>
      <w:r w:rsidRPr="000A4BDC">
        <w:rPr>
          <w:rFonts w:cstheme="minorHAnsi"/>
          <w:i/>
          <w:sz w:val="24"/>
          <w:szCs w:val="24"/>
        </w:rPr>
        <w:t>parental pressure’</w:t>
      </w:r>
      <w:r w:rsidRPr="000A4BDC">
        <w:rPr>
          <w:rFonts w:cstheme="minorHAnsi"/>
          <w:sz w:val="24"/>
          <w:szCs w:val="24"/>
        </w:rPr>
        <w:t xml:space="preserve"> (in</w:t>
      </w:r>
      <w:r w:rsidR="0036570B" w:rsidRPr="000A4BDC">
        <w:rPr>
          <w:rFonts w:cstheme="minorHAnsi"/>
          <w:sz w:val="24"/>
          <w:szCs w:val="24"/>
        </w:rPr>
        <w:t xml:space="preserve"> Centres 1 and 2), to a response that </w:t>
      </w:r>
      <w:r w:rsidR="00B35821" w:rsidRPr="000A4BDC">
        <w:rPr>
          <w:rFonts w:cstheme="minorHAnsi"/>
          <w:sz w:val="24"/>
          <w:szCs w:val="24"/>
        </w:rPr>
        <w:t xml:space="preserve">can be summarised as </w:t>
      </w:r>
      <w:r w:rsidR="004F53D4" w:rsidRPr="000A4BDC">
        <w:rPr>
          <w:rFonts w:cstheme="minorHAnsi"/>
          <w:sz w:val="24"/>
          <w:szCs w:val="24"/>
        </w:rPr>
        <w:t>challenging ‘</w:t>
      </w:r>
      <w:r w:rsidRPr="000A4BDC">
        <w:rPr>
          <w:rFonts w:cstheme="minorHAnsi"/>
          <w:i/>
          <w:sz w:val="24"/>
          <w:szCs w:val="24"/>
        </w:rPr>
        <w:t>students expectations</w:t>
      </w:r>
      <w:r w:rsidRPr="000A4BDC">
        <w:rPr>
          <w:rFonts w:cstheme="minorHAnsi"/>
          <w:sz w:val="24"/>
          <w:szCs w:val="24"/>
        </w:rPr>
        <w:t xml:space="preserve">’ (in Centre 3).  The discussions that had taken place around the costings and the position of introducing something that potentially diverts resources away from elsewhere derived the code of ‘Can we afford it?’, this is obviously a bigger </w:t>
      </w:r>
      <w:r w:rsidR="00E54B4A" w:rsidRPr="000A4BDC">
        <w:rPr>
          <w:rFonts w:cstheme="minorHAnsi"/>
          <w:sz w:val="24"/>
          <w:szCs w:val="24"/>
        </w:rPr>
        <w:t xml:space="preserve">discussion in the state sector </w:t>
      </w:r>
      <w:r w:rsidRPr="000A4BDC">
        <w:rPr>
          <w:rFonts w:cstheme="minorHAnsi"/>
          <w:sz w:val="24"/>
          <w:szCs w:val="24"/>
        </w:rPr>
        <w:t>than the independent sector where the additional costs are directly passed on to the consumer.  It should be mentioned that for the two remaining state schools</w:t>
      </w:r>
      <w:r w:rsidR="00060A12" w:rsidRPr="000A4BDC">
        <w:rPr>
          <w:rFonts w:cstheme="minorHAnsi"/>
          <w:sz w:val="24"/>
          <w:szCs w:val="24"/>
        </w:rPr>
        <w:t xml:space="preserve"> interviewed</w:t>
      </w:r>
      <w:r w:rsidR="000B79C6" w:rsidRPr="000A4BDC">
        <w:rPr>
          <w:rFonts w:cstheme="minorHAnsi"/>
          <w:sz w:val="24"/>
          <w:szCs w:val="24"/>
        </w:rPr>
        <w:t>,</w:t>
      </w:r>
      <w:r w:rsidR="00060A12" w:rsidRPr="000A4BDC">
        <w:rPr>
          <w:rFonts w:cstheme="minorHAnsi"/>
          <w:sz w:val="24"/>
          <w:szCs w:val="24"/>
        </w:rPr>
        <w:t xml:space="preserve"> </w:t>
      </w:r>
      <w:r w:rsidRPr="000A4BDC">
        <w:rPr>
          <w:rFonts w:cstheme="minorHAnsi"/>
          <w:sz w:val="24"/>
          <w:szCs w:val="24"/>
        </w:rPr>
        <w:t xml:space="preserve">this is where the bulk of their </w:t>
      </w:r>
      <w:r w:rsidR="0062373D" w:rsidRPr="000A4BDC">
        <w:rPr>
          <w:rFonts w:cstheme="minorHAnsi"/>
          <w:sz w:val="24"/>
          <w:szCs w:val="24"/>
        </w:rPr>
        <w:t>internal SLT debates still lie.</w:t>
      </w:r>
    </w:p>
    <w:p w14:paraId="536766D9" w14:textId="50A4146E" w:rsidR="0073532B" w:rsidRPr="000A4BDC" w:rsidRDefault="0073532B" w:rsidP="00582590">
      <w:pPr>
        <w:spacing w:line="276" w:lineRule="auto"/>
        <w:jc w:val="both"/>
        <w:rPr>
          <w:rFonts w:cstheme="minorHAnsi"/>
          <w:sz w:val="24"/>
          <w:szCs w:val="24"/>
        </w:rPr>
      </w:pPr>
      <w:r w:rsidRPr="000A4BDC">
        <w:rPr>
          <w:rFonts w:cstheme="minorHAnsi"/>
          <w:sz w:val="24"/>
          <w:szCs w:val="24"/>
        </w:rPr>
        <w:t xml:space="preserve">What is known about leaders in education is that they often feel squeezed between </w:t>
      </w:r>
      <w:r w:rsidR="006C3AEE" w:rsidRPr="000A4BDC">
        <w:rPr>
          <w:rFonts w:cstheme="minorHAnsi"/>
          <w:sz w:val="24"/>
          <w:szCs w:val="24"/>
        </w:rPr>
        <w:t xml:space="preserve">differing </w:t>
      </w:r>
      <w:r w:rsidR="0062373D" w:rsidRPr="000A4BDC">
        <w:rPr>
          <w:rFonts w:cstheme="minorHAnsi"/>
          <w:sz w:val="24"/>
          <w:szCs w:val="24"/>
        </w:rPr>
        <w:t>groups</w:t>
      </w:r>
      <w:r w:rsidR="006C3AEE" w:rsidRPr="000A4BDC">
        <w:rPr>
          <w:rFonts w:cstheme="minorHAnsi"/>
          <w:sz w:val="24"/>
          <w:szCs w:val="24"/>
        </w:rPr>
        <w:t xml:space="preserve"> (Earley, 2013)</w:t>
      </w:r>
      <w:r w:rsidR="0062373D" w:rsidRPr="000A4BDC">
        <w:rPr>
          <w:rFonts w:cstheme="minorHAnsi"/>
          <w:sz w:val="24"/>
          <w:szCs w:val="24"/>
        </w:rPr>
        <w:t>.  One the one side, t</w:t>
      </w:r>
      <w:r w:rsidRPr="000A4BDC">
        <w:rPr>
          <w:rFonts w:cstheme="minorHAnsi"/>
          <w:sz w:val="24"/>
          <w:szCs w:val="24"/>
        </w:rPr>
        <w:t>hose they answer to – their own ‘external’ leaders: governing bodies, executive head teachers, Chain school ‘owners’, Local</w:t>
      </w:r>
      <w:r w:rsidR="00DD3B28" w:rsidRPr="000A4BDC">
        <w:rPr>
          <w:rFonts w:cstheme="minorHAnsi"/>
          <w:sz w:val="24"/>
          <w:szCs w:val="24"/>
        </w:rPr>
        <w:t xml:space="preserve"> and</w:t>
      </w:r>
      <w:r w:rsidRPr="000A4BDC">
        <w:rPr>
          <w:rFonts w:cstheme="minorHAnsi"/>
          <w:sz w:val="24"/>
          <w:szCs w:val="24"/>
        </w:rPr>
        <w:t xml:space="preserve"> National</w:t>
      </w:r>
      <w:r w:rsidR="00DD3B28" w:rsidRPr="000A4BDC">
        <w:rPr>
          <w:rFonts w:cstheme="minorHAnsi"/>
          <w:sz w:val="24"/>
          <w:szCs w:val="24"/>
        </w:rPr>
        <w:t xml:space="preserve"> governments</w:t>
      </w:r>
      <w:r w:rsidR="0058623F" w:rsidRPr="000A4BDC">
        <w:rPr>
          <w:rFonts w:cstheme="minorHAnsi"/>
          <w:sz w:val="24"/>
          <w:szCs w:val="24"/>
        </w:rPr>
        <w:t xml:space="preserve">. On the other, </w:t>
      </w:r>
      <w:r w:rsidRPr="000A4BDC">
        <w:rPr>
          <w:rFonts w:cstheme="minorHAnsi"/>
          <w:sz w:val="24"/>
          <w:szCs w:val="24"/>
        </w:rPr>
        <w:t xml:space="preserve">the people they in turn lead inside their teams and organizations.  This latter group comprises what could perhaps be viewed as the ‘internal’ group involved in education: students, parents, and staff.  This squeeze between those leading and those being led appears especially noticeable around agendas of change.  Individual leaders who participated in this research process are sometimes overwhelmed by their roles, but still find the ‘traditional’ perhaps inherent satisfaction inside education - helping people. </w:t>
      </w:r>
      <w:r w:rsidR="00E11FC8" w:rsidRPr="000A4BDC">
        <w:rPr>
          <w:rFonts w:cstheme="minorHAnsi"/>
          <w:sz w:val="24"/>
          <w:szCs w:val="24"/>
        </w:rPr>
        <w:t xml:space="preserve">In the case of </w:t>
      </w:r>
      <w:r w:rsidR="006C3AEE" w:rsidRPr="000A4BDC">
        <w:rPr>
          <w:rFonts w:cstheme="minorHAnsi"/>
          <w:sz w:val="24"/>
          <w:szCs w:val="24"/>
        </w:rPr>
        <w:t xml:space="preserve">the </w:t>
      </w:r>
      <w:r w:rsidR="00E11FC8" w:rsidRPr="000A4BDC">
        <w:rPr>
          <w:rFonts w:cstheme="minorHAnsi"/>
          <w:sz w:val="24"/>
          <w:szCs w:val="24"/>
        </w:rPr>
        <w:t>SLT leaders</w:t>
      </w:r>
      <w:r w:rsidR="006C3AEE" w:rsidRPr="000A4BDC">
        <w:rPr>
          <w:rFonts w:cstheme="minorHAnsi"/>
          <w:sz w:val="24"/>
          <w:szCs w:val="24"/>
        </w:rPr>
        <w:t xml:space="preserve"> interviewed here</w:t>
      </w:r>
      <w:r w:rsidR="00E11FC8" w:rsidRPr="000A4BDC">
        <w:rPr>
          <w:rFonts w:cstheme="minorHAnsi"/>
          <w:sz w:val="24"/>
          <w:szCs w:val="24"/>
        </w:rPr>
        <w:t xml:space="preserve">, this </w:t>
      </w:r>
      <w:r w:rsidRPr="000A4BDC">
        <w:rPr>
          <w:rFonts w:cstheme="minorHAnsi"/>
          <w:sz w:val="24"/>
          <w:szCs w:val="24"/>
        </w:rPr>
        <w:t xml:space="preserve">altruistic element of public service transfers to </w:t>
      </w:r>
      <w:r w:rsidRPr="000A4BDC">
        <w:rPr>
          <w:rFonts w:cstheme="minorHAnsi"/>
          <w:sz w:val="24"/>
          <w:szCs w:val="24"/>
        </w:rPr>
        <w:lastRenderedPageBreak/>
        <w:t>implementing the policy that in turn impacts on the students, rather than the direct involvement with teaching that happens e</w:t>
      </w:r>
      <w:r w:rsidR="00E11FC8" w:rsidRPr="000A4BDC">
        <w:rPr>
          <w:rFonts w:cstheme="minorHAnsi"/>
          <w:sz w:val="24"/>
          <w:szCs w:val="24"/>
        </w:rPr>
        <w:t>arlier on in teacher</w:t>
      </w:r>
      <w:r w:rsidR="0058623F" w:rsidRPr="000A4BDC">
        <w:rPr>
          <w:rFonts w:cstheme="minorHAnsi"/>
          <w:sz w:val="24"/>
          <w:szCs w:val="24"/>
        </w:rPr>
        <w:t>s</w:t>
      </w:r>
      <w:r w:rsidR="00E11FC8" w:rsidRPr="000A4BDC">
        <w:rPr>
          <w:rFonts w:cstheme="minorHAnsi"/>
          <w:sz w:val="24"/>
          <w:szCs w:val="24"/>
        </w:rPr>
        <w:t>’</w:t>
      </w:r>
      <w:r w:rsidR="0058623F" w:rsidRPr="000A4BDC">
        <w:rPr>
          <w:rFonts w:cstheme="minorHAnsi"/>
          <w:sz w:val="24"/>
          <w:szCs w:val="24"/>
        </w:rPr>
        <w:t xml:space="preserve"> careers.</w:t>
      </w:r>
    </w:p>
    <w:p w14:paraId="21E221DE" w14:textId="41B09767" w:rsidR="006C3AEE" w:rsidRPr="000A4BDC" w:rsidRDefault="0073532B" w:rsidP="00D026CA">
      <w:pPr>
        <w:spacing w:line="276" w:lineRule="auto"/>
        <w:jc w:val="both"/>
        <w:rPr>
          <w:rFonts w:cstheme="minorHAnsi"/>
          <w:sz w:val="24"/>
          <w:szCs w:val="24"/>
          <w:highlight w:val="green"/>
        </w:rPr>
      </w:pPr>
      <w:r w:rsidRPr="004C02A9">
        <w:rPr>
          <w:rFonts w:cstheme="minorHAnsi"/>
          <w:sz w:val="24"/>
          <w:szCs w:val="24"/>
        </w:rPr>
        <w:t xml:space="preserve">Members of SLTs have a huge sense of responsibility to a very varied group, the combination of the ‘internal’ </w:t>
      </w:r>
      <w:r w:rsidRPr="00D026CA">
        <w:rPr>
          <w:rFonts w:cstheme="minorHAnsi"/>
          <w:sz w:val="24"/>
          <w:szCs w:val="24"/>
        </w:rPr>
        <w:t>and ‘external’ groups described above: staff, students, parents,</w:t>
      </w:r>
      <w:r w:rsidR="0058623F" w:rsidRPr="000A4BDC">
        <w:rPr>
          <w:rFonts w:cstheme="minorHAnsi"/>
          <w:sz w:val="24"/>
          <w:szCs w:val="24"/>
        </w:rPr>
        <w:t xml:space="preserve"> governors and the policy makers at all relevant levels.  However, it emerges from the interviews tha</w:t>
      </w:r>
      <w:r w:rsidRPr="000A4BDC">
        <w:rPr>
          <w:rFonts w:cstheme="minorHAnsi"/>
          <w:sz w:val="24"/>
          <w:szCs w:val="24"/>
        </w:rPr>
        <w:t xml:space="preserve">t they feel they have insignificant power, being ever reactive to events and often feeling isolated and removed from their ‘core’ staff teams.  Leaders still enjoy making a significant difference in others’ lives such as the students and communities that they see themselves as serving, but increasingly this comes from the decisions that they take around the adoption of policy and ensuing curriculum choice.  </w:t>
      </w:r>
      <w:r w:rsidR="0058623F" w:rsidRPr="000A4BDC">
        <w:rPr>
          <w:rFonts w:cstheme="minorHAnsi"/>
          <w:sz w:val="24"/>
          <w:szCs w:val="24"/>
        </w:rPr>
        <w:t>There are a number of tensions that emerge from this analysis</w:t>
      </w:r>
      <w:r w:rsidR="00153BEC" w:rsidRPr="000A4BDC">
        <w:rPr>
          <w:rFonts w:cstheme="minorHAnsi"/>
          <w:sz w:val="24"/>
          <w:szCs w:val="24"/>
        </w:rPr>
        <w:t>, which can be related to the Janus faced nature of leadership</w:t>
      </w:r>
      <w:r w:rsidR="006C3AEE" w:rsidRPr="000A4BDC">
        <w:rPr>
          <w:rFonts w:cstheme="minorHAnsi"/>
          <w:sz w:val="24"/>
          <w:szCs w:val="24"/>
        </w:rPr>
        <w:t xml:space="preserve"> (Aronson, 2001)</w:t>
      </w:r>
      <w:r w:rsidR="00153BEC" w:rsidRPr="000A4BDC">
        <w:rPr>
          <w:rFonts w:cstheme="minorHAnsi"/>
          <w:sz w:val="24"/>
          <w:szCs w:val="24"/>
        </w:rPr>
        <w:t xml:space="preserve">. On the one side, SLT face the pressures directed at school leaders deriving from the changes in the shifting political and economic landscapes. On the other, school leaders are held accountable </w:t>
      </w:r>
      <w:r w:rsidR="00027EDF" w:rsidRPr="000A4BDC">
        <w:rPr>
          <w:rFonts w:cstheme="minorHAnsi"/>
          <w:sz w:val="24"/>
          <w:szCs w:val="24"/>
        </w:rPr>
        <w:t>by the insider groups for decisions taken as a response to those changes dictated by external forces. The potential limits on control and agency caused by global, national and local forces become thus critical in order to unravel these tensions, bringing to the fore the role of organisations systems and cultures in which SLT groups are immersed.</w:t>
      </w:r>
      <w:r w:rsidR="00153BEC" w:rsidRPr="000A4BDC">
        <w:rPr>
          <w:rFonts w:cstheme="minorHAnsi"/>
          <w:sz w:val="24"/>
          <w:szCs w:val="24"/>
        </w:rPr>
        <w:t xml:space="preserve"> </w:t>
      </w:r>
    </w:p>
    <w:p w14:paraId="7BA58577" w14:textId="2EAD2349" w:rsidR="00B12B9E" w:rsidRPr="000A4BDC" w:rsidRDefault="00B12B9E">
      <w:pPr>
        <w:spacing w:line="276" w:lineRule="auto"/>
        <w:jc w:val="both"/>
        <w:rPr>
          <w:rFonts w:cstheme="minorHAnsi"/>
          <w:sz w:val="24"/>
          <w:szCs w:val="24"/>
        </w:rPr>
      </w:pPr>
      <w:r w:rsidRPr="00090FE0">
        <w:rPr>
          <w:rFonts w:cstheme="minorHAnsi"/>
          <w:sz w:val="24"/>
          <w:szCs w:val="24"/>
        </w:rPr>
        <w:t>S</w:t>
      </w:r>
      <w:r w:rsidR="00B45DF2" w:rsidRPr="00090FE0">
        <w:rPr>
          <w:rFonts w:cstheme="minorHAnsi"/>
          <w:sz w:val="24"/>
          <w:szCs w:val="24"/>
        </w:rPr>
        <w:t>enior Leadership Team</w:t>
      </w:r>
      <w:r w:rsidRPr="00090FE0">
        <w:rPr>
          <w:rFonts w:cstheme="minorHAnsi"/>
          <w:sz w:val="24"/>
          <w:szCs w:val="24"/>
        </w:rPr>
        <w:t xml:space="preserve"> members have given witness to how structures can both enable and prevent their students from achieving.  Hence being able to influence the choice of curriculum so that appropriate levels of status are conferred or restricted, </w:t>
      </w:r>
      <w:r w:rsidR="006C3AEE" w:rsidRPr="00090FE0">
        <w:rPr>
          <w:rFonts w:cstheme="minorHAnsi"/>
          <w:sz w:val="24"/>
          <w:szCs w:val="24"/>
        </w:rPr>
        <w:t xml:space="preserve">or agency can be suitably deployed, </w:t>
      </w:r>
      <w:r w:rsidRPr="00090FE0">
        <w:rPr>
          <w:rFonts w:cstheme="minorHAnsi"/>
          <w:sz w:val="24"/>
          <w:szCs w:val="24"/>
        </w:rPr>
        <w:t xml:space="preserve">can be regarded an attractive decision on which to base </w:t>
      </w:r>
      <w:r w:rsidR="00B45DF2" w:rsidRPr="00090FE0">
        <w:rPr>
          <w:rFonts w:cstheme="minorHAnsi"/>
          <w:sz w:val="24"/>
          <w:szCs w:val="24"/>
        </w:rPr>
        <w:t>the implementation of non-mandatory policy</w:t>
      </w:r>
      <w:r w:rsidRPr="00090FE0">
        <w:rPr>
          <w:rFonts w:cstheme="minorHAnsi"/>
          <w:sz w:val="24"/>
          <w:szCs w:val="24"/>
        </w:rPr>
        <w:t>.  Discussion around levels of ‘choice’</w:t>
      </w:r>
      <w:r w:rsidR="00B45DF2" w:rsidRPr="00090FE0">
        <w:rPr>
          <w:rFonts w:cstheme="minorHAnsi"/>
          <w:sz w:val="24"/>
          <w:szCs w:val="24"/>
        </w:rPr>
        <w:t xml:space="preserve">, </w:t>
      </w:r>
      <w:r w:rsidRPr="00090FE0">
        <w:rPr>
          <w:rFonts w:cstheme="minorHAnsi"/>
          <w:sz w:val="24"/>
          <w:szCs w:val="24"/>
        </w:rPr>
        <w:t>and what choice means in these differing schools and colleges</w:t>
      </w:r>
      <w:r w:rsidR="00B45DF2" w:rsidRPr="00090FE0">
        <w:rPr>
          <w:rFonts w:cstheme="minorHAnsi"/>
          <w:sz w:val="24"/>
          <w:szCs w:val="24"/>
        </w:rPr>
        <w:t>,</w:t>
      </w:r>
      <w:r w:rsidRPr="00090FE0">
        <w:rPr>
          <w:rFonts w:cstheme="minorHAnsi"/>
          <w:sz w:val="24"/>
          <w:szCs w:val="24"/>
        </w:rPr>
        <w:t xml:space="preserve"> was explored in these inductively-derived codes.  These S</w:t>
      </w:r>
      <w:r w:rsidR="00B45DF2" w:rsidRPr="00090FE0">
        <w:rPr>
          <w:rFonts w:cstheme="minorHAnsi"/>
          <w:sz w:val="24"/>
          <w:szCs w:val="24"/>
        </w:rPr>
        <w:t>enior Leadership Teams</w:t>
      </w:r>
      <w:r w:rsidRPr="00090FE0">
        <w:rPr>
          <w:rFonts w:cstheme="minorHAnsi"/>
          <w:sz w:val="24"/>
          <w:szCs w:val="24"/>
        </w:rPr>
        <w:t xml:space="preserve"> all have different constraints whether state or independent.  They also have differing levels of engagement with international communities: some, </w:t>
      </w:r>
      <w:r w:rsidR="00B45DF2" w:rsidRPr="00090FE0">
        <w:rPr>
          <w:rFonts w:cstheme="minorHAnsi"/>
          <w:sz w:val="24"/>
          <w:szCs w:val="24"/>
        </w:rPr>
        <w:t xml:space="preserve">with </w:t>
      </w:r>
      <w:r w:rsidRPr="00090FE0">
        <w:rPr>
          <w:rFonts w:cstheme="minorHAnsi"/>
          <w:sz w:val="24"/>
          <w:szCs w:val="24"/>
        </w:rPr>
        <w:t xml:space="preserve">the transnational global elite that </w:t>
      </w:r>
      <w:r w:rsidR="00AD5748" w:rsidRPr="00090FE0">
        <w:rPr>
          <w:rFonts w:cstheme="minorHAnsi"/>
          <w:sz w:val="24"/>
          <w:szCs w:val="24"/>
        </w:rPr>
        <w:t>has</w:t>
      </w:r>
      <w:r w:rsidRPr="00090FE0">
        <w:rPr>
          <w:rFonts w:cstheme="minorHAnsi"/>
          <w:sz w:val="24"/>
          <w:szCs w:val="24"/>
        </w:rPr>
        <w:t xml:space="preserve"> been discussed </w:t>
      </w:r>
      <w:r w:rsidR="00AD5748" w:rsidRPr="00090FE0">
        <w:rPr>
          <w:rFonts w:cstheme="minorHAnsi"/>
          <w:sz w:val="24"/>
          <w:szCs w:val="24"/>
        </w:rPr>
        <w:t>in this paper</w:t>
      </w:r>
      <w:r w:rsidRPr="00090FE0">
        <w:rPr>
          <w:rFonts w:cstheme="minorHAnsi"/>
          <w:sz w:val="24"/>
          <w:szCs w:val="24"/>
        </w:rPr>
        <w:t>, but others have international communities from changing urban multicultural environments.  S</w:t>
      </w:r>
      <w:r w:rsidR="00B45DF2" w:rsidRPr="00090FE0">
        <w:rPr>
          <w:rFonts w:cstheme="minorHAnsi"/>
          <w:sz w:val="24"/>
          <w:szCs w:val="24"/>
        </w:rPr>
        <w:t xml:space="preserve">enior Leadership Teams </w:t>
      </w:r>
      <w:r w:rsidRPr="00090FE0">
        <w:rPr>
          <w:rFonts w:cstheme="minorHAnsi"/>
          <w:sz w:val="24"/>
          <w:szCs w:val="24"/>
        </w:rPr>
        <w:t>that were visited</w:t>
      </w:r>
      <w:r w:rsidR="006870CF" w:rsidRPr="00090FE0">
        <w:rPr>
          <w:rFonts w:cstheme="minorHAnsi"/>
          <w:sz w:val="24"/>
          <w:szCs w:val="24"/>
        </w:rPr>
        <w:t xml:space="preserve"> and interviewed</w:t>
      </w:r>
      <w:r w:rsidRPr="00090FE0">
        <w:rPr>
          <w:rFonts w:cstheme="minorHAnsi"/>
          <w:sz w:val="24"/>
          <w:szCs w:val="24"/>
        </w:rPr>
        <w:t xml:space="preserve"> also had an understanding of the fact that they were educating students to be part of a globalized society irrespective of their circumstances.</w:t>
      </w:r>
      <w:r w:rsidRPr="00090FE0">
        <w:rPr>
          <w:rFonts w:cstheme="minorHAnsi"/>
          <w:sz w:val="24"/>
          <w:szCs w:val="24"/>
          <w:highlight w:val="yellow"/>
        </w:rPr>
        <w:t xml:space="preserve"> </w:t>
      </w:r>
    </w:p>
    <w:p w14:paraId="17FE0E29" w14:textId="77777777" w:rsidR="0058623F" w:rsidRPr="000A4BDC" w:rsidRDefault="0058623F">
      <w:pPr>
        <w:spacing w:line="276" w:lineRule="auto"/>
        <w:jc w:val="both"/>
        <w:rPr>
          <w:rFonts w:cstheme="minorHAnsi"/>
          <w:b/>
          <w:i/>
          <w:sz w:val="24"/>
          <w:szCs w:val="24"/>
        </w:rPr>
      </w:pPr>
      <w:r w:rsidRPr="000A4BDC">
        <w:rPr>
          <w:rFonts w:cstheme="minorHAnsi"/>
          <w:b/>
          <w:i/>
          <w:sz w:val="24"/>
          <w:szCs w:val="24"/>
        </w:rPr>
        <w:t xml:space="preserve">Conclusion. </w:t>
      </w:r>
    </w:p>
    <w:p w14:paraId="0871EBFA" w14:textId="343ACF83" w:rsidR="007E3260" w:rsidRPr="000A4BDC" w:rsidRDefault="00B12B9E" w:rsidP="00D026CA">
      <w:pPr>
        <w:spacing w:line="276" w:lineRule="auto"/>
        <w:jc w:val="both"/>
        <w:rPr>
          <w:rFonts w:cstheme="minorHAnsi"/>
          <w:sz w:val="24"/>
          <w:szCs w:val="24"/>
        </w:rPr>
      </w:pPr>
      <w:r w:rsidRPr="00090FE0">
        <w:rPr>
          <w:rFonts w:cstheme="minorHAnsi"/>
          <w:sz w:val="24"/>
          <w:szCs w:val="24"/>
        </w:rPr>
        <w:t xml:space="preserve">In exploring post-16 curricula access as shaped by social, economic, political, and cultural and professional constraints, this research process has revealed a snapshot of how educational leaders can act and how these actions can appear transformative for those who have access to them. This story of the IBDP adoption and withdrawal in </w:t>
      </w:r>
      <w:r w:rsidR="002F15E3" w:rsidRPr="00090FE0">
        <w:rPr>
          <w:rFonts w:cstheme="minorHAnsi"/>
          <w:sz w:val="24"/>
          <w:szCs w:val="24"/>
        </w:rPr>
        <w:t xml:space="preserve">state schools and colleges in </w:t>
      </w:r>
      <w:r w:rsidRPr="00090FE0">
        <w:rPr>
          <w:rFonts w:cstheme="minorHAnsi"/>
          <w:sz w:val="24"/>
          <w:szCs w:val="24"/>
        </w:rPr>
        <w:t>England, has illustrated contemporary global identities and possibilities</w:t>
      </w:r>
      <w:r w:rsidR="00B45DF2" w:rsidRPr="00090FE0">
        <w:rPr>
          <w:rFonts w:cstheme="minorHAnsi"/>
          <w:sz w:val="24"/>
          <w:szCs w:val="24"/>
        </w:rPr>
        <w:t xml:space="preserve"> </w:t>
      </w:r>
      <w:r w:rsidRPr="00090FE0">
        <w:rPr>
          <w:rFonts w:cstheme="minorHAnsi"/>
          <w:sz w:val="24"/>
          <w:szCs w:val="24"/>
        </w:rPr>
        <w:t>for students whose trajectories can be uncertain in transnational market places.  It has illustrated how leaders are constrained by their circumstances when w</w:t>
      </w:r>
      <w:r w:rsidR="00B45DF2" w:rsidRPr="00090FE0">
        <w:rPr>
          <w:rFonts w:cstheme="minorHAnsi"/>
          <w:sz w:val="24"/>
          <w:szCs w:val="24"/>
        </w:rPr>
        <w:t>illing</w:t>
      </w:r>
      <w:r w:rsidRPr="00090FE0">
        <w:rPr>
          <w:rFonts w:cstheme="minorHAnsi"/>
          <w:sz w:val="24"/>
          <w:szCs w:val="24"/>
        </w:rPr>
        <w:t xml:space="preserve"> to engage in something new, highlight</w:t>
      </w:r>
      <w:r w:rsidR="00B45DF2" w:rsidRPr="00090FE0">
        <w:rPr>
          <w:rFonts w:cstheme="minorHAnsi"/>
          <w:sz w:val="24"/>
          <w:szCs w:val="24"/>
        </w:rPr>
        <w:t>ing</w:t>
      </w:r>
      <w:r w:rsidRPr="00090FE0">
        <w:rPr>
          <w:rFonts w:cstheme="minorHAnsi"/>
          <w:sz w:val="24"/>
          <w:szCs w:val="24"/>
        </w:rPr>
        <w:t xml:space="preserve"> how policy decisions can </w:t>
      </w:r>
      <w:r w:rsidR="00B45DF2" w:rsidRPr="00090FE0">
        <w:rPr>
          <w:rFonts w:cstheme="minorHAnsi"/>
          <w:sz w:val="24"/>
          <w:szCs w:val="24"/>
        </w:rPr>
        <w:t>acknowledge</w:t>
      </w:r>
      <w:r w:rsidRPr="00090FE0">
        <w:rPr>
          <w:rFonts w:cstheme="minorHAnsi"/>
          <w:sz w:val="24"/>
          <w:szCs w:val="24"/>
        </w:rPr>
        <w:t xml:space="preserve"> parity whilst not acknowledging funding ratios that ultimately enforce a lack of equity across the education system.</w:t>
      </w:r>
      <w:r w:rsidR="007E3260" w:rsidRPr="00090FE0">
        <w:rPr>
          <w:rFonts w:cstheme="minorHAnsi"/>
          <w:sz w:val="24"/>
          <w:szCs w:val="24"/>
        </w:rPr>
        <w:t xml:space="preserve"> In this sense, it is significant that the choices faced by Senior Leadership Teams in the state sector focused primarily on </w:t>
      </w:r>
      <w:r w:rsidR="007E3260" w:rsidRPr="00090FE0">
        <w:rPr>
          <w:rFonts w:cstheme="minorHAnsi"/>
          <w:sz w:val="24"/>
          <w:szCs w:val="24"/>
        </w:rPr>
        <w:lastRenderedPageBreak/>
        <w:t xml:space="preserve">financial restrictions, and on a lack of parity that exists in educational structures (Archer, 2013).   </w:t>
      </w:r>
    </w:p>
    <w:p w14:paraId="15768853" w14:textId="7F88BCD1" w:rsidR="00BE4B2D" w:rsidRPr="000A4BDC" w:rsidRDefault="00BE4B2D" w:rsidP="00BE4B2D">
      <w:pPr>
        <w:spacing w:line="276" w:lineRule="auto"/>
        <w:jc w:val="both"/>
        <w:rPr>
          <w:rFonts w:cstheme="minorHAnsi"/>
          <w:sz w:val="24"/>
          <w:szCs w:val="24"/>
        </w:rPr>
      </w:pPr>
      <w:r w:rsidRPr="000A4BDC">
        <w:rPr>
          <w:rFonts w:cstheme="minorHAnsi"/>
          <w:sz w:val="24"/>
          <w:szCs w:val="24"/>
        </w:rPr>
        <w:t>According to Resnik, while national education systems withdraw from multicultural education, international schools, and in particular IB schools, emphasise multicultural values and competencies as invaluable resources to equip their students with the skills required to succeed in a global and inter-connected world:</w:t>
      </w:r>
    </w:p>
    <w:p w14:paraId="7F589BF5" w14:textId="248F2286" w:rsidR="00BE4B2D" w:rsidRDefault="00BE4B2D" w:rsidP="00BE4B2D">
      <w:pPr>
        <w:autoSpaceDE w:val="0"/>
        <w:autoSpaceDN w:val="0"/>
        <w:adjustRightInd w:val="0"/>
        <w:spacing w:after="0" w:line="240" w:lineRule="auto"/>
        <w:ind w:left="709" w:right="848"/>
        <w:jc w:val="both"/>
        <w:rPr>
          <w:rFonts w:cstheme="minorHAnsi"/>
          <w:sz w:val="24"/>
          <w:szCs w:val="24"/>
        </w:rPr>
      </w:pPr>
      <w:r w:rsidRPr="000A4BDC">
        <w:rPr>
          <w:rFonts w:cstheme="minorHAnsi"/>
          <w:sz w:val="24"/>
          <w:szCs w:val="24"/>
        </w:rPr>
        <w:t>As a result, only children graduating from international and exclusive private schools may have access to prestigious global jobs that required multicultural skills; for the rest of the students, even the most brilliant, becoming a global manager might remain only a dream, an impossible mission.</w:t>
      </w:r>
    </w:p>
    <w:p w14:paraId="222C2F6B" w14:textId="0C6F992A" w:rsidR="000D3E7C" w:rsidRPr="000A4BDC" w:rsidRDefault="000D3E7C" w:rsidP="00D026CA">
      <w:pPr>
        <w:autoSpaceDE w:val="0"/>
        <w:autoSpaceDN w:val="0"/>
        <w:adjustRightInd w:val="0"/>
        <w:spacing w:after="0" w:line="240" w:lineRule="auto"/>
        <w:ind w:left="709" w:right="848"/>
        <w:jc w:val="right"/>
        <w:rPr>
          <w:rFonts w:cstheme="minorHAnsi"/>
          <w:sz w:val="24"/>
          <w:szCs w:val="24"/>
        </w:rPr>
      </w:pPr>
      <w:r>
        <w:rPr>
          <w:rFonts w:cstheme="minorHAnsi"/>
          <w:sz w:val="24"/>
          <w:szCs w:val="24"/>
        </w:rPr>
        <w:t>(Resnik, 2009:218)</w:t>
      </w:r>
    </w:p>
    <w:p w14:paraId="056414F9" w14:textId="77777777" w:rsidR="00BE4B2D" w:rsidRPr="000A4BDC" w:rsidRDefault="00BE4B2D" w:rsidP="00BE4B2D">
      <w:pPr>
        <w:autoSpaceDE w:val="0"/>
        <w:autoSpaceDN w:val="0"/>
        <w:adjustRightInd w:val="0"/>
        <w:spacing w:after="0" w:line="240" w:lineRule="auto"/>
        <w:ind w:left="709" w:right="848"/>
        <w:jc w:val="both"/>
        <w:rPr>
          <w:rFonts w:cstheme="minorHAnsi"/>
          <w:sz w:val="24"/>
          <w:szCs w:val="24"/>
        </w:rPr>
      </w:pPr>
    </w:p>
    <w:p w14:paraId="415B5AC7" w14:textId="6E349E75" w:rsidR="00112CC6" w:rsidRPr="000A4BDC" w:rsidRDefault="00BE4B2D" w:rsidP="00D026CA">
      <w:pPr>
        <w:jc w:val="both"/>
        <w:rPr>
          <w:rFonts w:cstheme="minorHAnsi"/>
          <w:b/>
          <w:i/>
          <w:sz w:val="24"/>
          <w:szCs w:val="24"/>
        </w:rPr>
      </w:pPr>
      <w:r w:rsidRPr="004C02A9">
        <w:rPr>
          <w:rFonts w:cstheme="minorHAnsi"/>
          <w:sz w:val="24"/>
          <w:szCs w:val="24"/>
        </w:rPr>
        <w:t xml:space="preserve">This paper has argued that </w:t>
      </w:r>
      <w:r w:rsidRPr="000A4BDC">
        <w:rPr>
          <w:rFonts w:cstheme="minorHAnsi"/>
          <w:sz w:val="24"/>
          <w:szCs w:val="24"/>
        </w:rPr>
        <w:t xml:space="preserve">the IBDP is an indicator of new and emerging forms of social differentiation. The increasing disparity between state and independent schools represents one of the major factors that contribute to reproducing patterns of inequality in the wider society.  At a time of decreasing social mobility for the mainstream population (Milburn, </w:t>
      </w:r>
      <w:r w:rsidR="001168CF" w:rsidRPr="000A4BDC">
        <w:rPr>
          <w:rFonts w:cstheme="minorHAnsi"/>
          <w:sz w:val="24"/>
          <w:szCs w:val="24"/>
        </w:rPr>
        <w:t>2009, 2012, 2015, 2016</w:t>
      </w:r>
      <w:r w:rsidRPr="000A4BDC">
        <w:rPr>
          <w:rFonts w:cstheme="minorHAnsi"/>
          <w:sz w:val="24"/>
          <w:szCs w:val="24"/>
        </w:rPr>
        <w:t xml:space="preserve">), this paper has analysed whether education environments are able to influence either their students or the wider education policy agenda to actively achieve social justice. This paper has described the </w:t>
      </w:r>
      <w:r w:rsidR="002F15E3" w:rsidRPr="000A4BDC">
        <w:rPr>
          <w:rFonts w:cstheme="minorHAnsi"/>
          <w:sz w:val="24"/>
          <w:szCs w:val="24"/>
        </w:rPr>
        <w:t xml:space="preserve">interview processes that took place inside eight schools and colleges that implemented the IBDP highlighting the </w:t>
      </w:r>
      <w:r w:rsidRPr="000A4BDC">
        <w:rPr>
          <w:rFonts w:cstheme="minorHAnsi"/>
          <w:sz w:val="24"/>
          <w:szCs w:val="24"/>
        </w:rPr>
        <w:t>mechanism by which elite groups are</w:t>
      </w:r>
      <w:r w:rsidR="002F15E3" w:rsidRPr="000A4BDC">
        <w:rPr>
          <w:rFonts w:cstheme="minorHAnsi"/>
          <w:sz w:val="24"/>
          <w:szCs w:val="24"/>
        </w:rPr>
        <w:t xml:space="preserve"> potentially</w:t>
      </w:r>
      <w:r w:rsidRPr="000A4BDC">
        <w:rPr>
          <w:rFonts w:cstheme="minorHAnsi"/>
          <w:sz w:val="24"/>
          <w:szCs w:val="24"/>
        </w:rPr>
        <w:t xml:space="preserve"> separating their children out from other groups by enabling their access to the IBDP as part of th</w:t>
      </w:r>
      <w:r w:rsidR="002F15E3" w:rsidRPr="000A4BDC">
        <w:rPr>
          <w:rFonts w:cstheme="minorHAnsi"/>
          <w:sz w:val="24"/>
          <w:szCs w:val="24"/>
        </w:rPr>
        <w:t>e</w:t>
      </w:r>
      <w:r w:rsidRPr="000A4BDC">
        <w:rPr>
          <w:rFonts w:cstheme="minorHAnsi"/>
          <w:sz w:val="24"/>
          <w:szCs w:val="24"/>
        </w:rPr>
        <w:t xml:space="preserve"> process of guaranteeing a place in an elite university</w:t>
      </w:r>
      <w:r w:rsidR="002F15E3" w:rsidRPr="000A4BDC">
        <w:rPr>
          <w:rFonts w:cstheme="minorHAnsi"/>
          <w:sz w:val="24"/>
          <w:szCs w:val="24"/>
        </w:rPr>
        <w:t>, by keeping their curriculum options open longer</w:t>
      </w:r>
      <w:r w:rsidRPr="000A4BDC">
        <w:rPr>
          <w:rFonts w:cstheme="minorHAnsi"/>
          <w:sz w:val="24"/>
          <w:szCs w:val="24"/>
        </w:rPr>
        <w:t>. Savage</w:t>
      </w:r>
      <w:r w:rsidR="00076D74" w:rsidRPr="000A4BDC">
        <w:rPr>
          <w:rFonts w:cstheme="minorHAnsi"/>
          <w:sz w:val="24"/>
          <w:szCs w:val="24"/>
        </w:rPr>
        <w:t xml:space="preserve"> </w:t>
      </w:r>
      <w:r w:rsidR="00F61732">
        <w:rPr>
          <w:rFonts w:cstheme="minorHAnsi"/>
          <w:sz w:val="24"/>
          <w:szCs w:val="24"/>
        </w:rPr>
        <w:t>et al</w:t>
      </w:r>
      <w:r w:rsidRPr="000A4BDC">
        <w:rPr>
          <w:rFonts w:cstheme="minorHAnsi"/>
          <w:sz w:val="24"/>
          <w:szCs w:val="24"/>
        </w:rPr>
        <w:t xml:space="preserve"> (2015: 245) comment that: ‘almost two thirds of those taking the ‘royal road’ – coming from a senior managerial or traditional professional home, and going to an independent school, then Oxford – reach the elite’. However, </w:t>
      </w:r>
      <w:r w:rsidR="00F61732" w:rsidRPr="00D026CA">
        <w:rPr>
          <w:rFonts w:cstheme="minorHAnsi"/>
          <w:color w:val="000000"/>
          <w:sz w:val="24"/>
          <w:szCs w:val="24"/>
        </w:rPr>
        <w:t>as Savage et al (2015) state</w:t>
      </w:r>
      <w:r w:rsidR="00F61732">
        <w:rPr>
          <w:rFonts w:cstheme="minorHAnsi"/>
          <w:color w:val="000000"/>
          <w:sz w:val="24"/>
          <w:szCs w:val="24"/>
        </w:rPr>
        <w:t>,</w:t>
      </w:r>
      <w:r w:rsidR="00F61732">
        <w:rPr>
          <w:rFonts w:ascii="Tahoma" w:hAnsi="Tahoma" w:cs="Tahoma"/>
          <w:color w:val="000000"/>
          <w:sz w:val="17"/>
          <w:szCs w:val="17"/>
        </w:rPr>
        <w:t xml:space="preserve"> </w:t>
      </w:r>
      <w:r w:rsidRPr="00F61732">
        <w:rPr>
          <w:rFonts w:cstheme="minorHAnsi"/>
          <w:sz w:val="24"/>
          <w:szCs w:val="24"/>
        </w:rPr>
        <w:t>this is no longer the case a</w:t>
      </w:r>
      <w:r w:rsidRPr="000A4BDC">
        <w:rPr>
          <w:rFonts w:cstheme="minorHAnsi"/>
          <w:sz w:val="24"/>
          <w:szCs w:val="24"/>
        </w:rPr>
        <w:t>s many individuals from these senior managerial or traditional professional home can no longer afford school fees and large mortgages. Whereas the developing ‘globally mobile transnational elite’ (Savage</w:t>
      </w:r>
      <w:r w:rsidR="00076D74" w:rsidRPr="000A4BDC">
        <w:rPr>
          <w:rFonts w:cstheme="minorHAnsi"/>
          <w:sz w:val="24"/>
          <w:szCs w:val="24"/>
        </w:rPr>
        <w:t xml:space="preserve"> </w:t>
      </w:r>
      <w:r w:rsidR="00F61732">
        <w:rPr>
          <w:rFonts w:cstheme="minorHAnsi"/>
          <w:sz w:val="24"/>
          <w:szCs w:val="24"/>
        </w:rPr>
        <w:t>et al</w:t>
      </w:r>
      <w:r w:rsidRPr="000A4BDC">
        <w:rPr>
          <w:rFonts w:cstheme="minorHAnsi"/>
          <w:sz w:val="24"/>
          <w:szCs w:val="24"/>
        </w:rPr>
        <w:t xml:space="preserve">, 2015: 243), that can afford independent education for their children are paying for something that is now significantly harder to come by in the state sector. In summary, this paper has illustrated </w:t>
      </w:r>
      <w:r w:rsidRPr="000A4BDC">
        <w:rPr>
          <w:rFonts w:cstheme="minorHAnsi"/>
          <w:i/>
          <w:sz w:val="24"/>
          <w:szCs w:val="24"/>
        </w:rPr>
        <w:t>how</w:t>
      </w:r>
      <w:r w:rsidRPr="000A4BDC">
        <w:rPr>
          <w:rFonts w:cstheme="minorHAnsi"/>
          <w:sz w:val="24"/>
          <w:szCs w:val="24"/>
        </w:rPr>
        <w:t xml:space="preserve"> and </w:t>
      </w:r>
      <w:r w:rsidRPr="000A4BDC">
        <w:rPr>
          <w:rFonts w:cstheme="minorHAnsi"/>
          <w:i/>
          <w:sz w:val="24"/>
          <w:szCs w:val="24"/>
        </w:rPr>
        <w:t>why</w:t>
      </w:r>
      <w:r w:rsidRPr="000A4BDC">
        <w:rPr>
          <w:rFonts w:cstheme="minorHAnsi"/>
          <w:sz w:val="24"/>
          <w:szCs w:val="24"/>
        </w:rPr>
        <w:t xml:space="preserve"> new social forms and forces are emerging and defining their interests via curricular concerns. It has focused on </w:t>
      </w:r>
      <w:r w:rsidRPr="000A4BDC">
        <w:rPr>
          <w:rFonts w:cstheme="minorHAnsi"/>
          <w:i/>
          <w:sz w:val="24"/>
          <w:szCs w:val="24"/>
        </w:rPr>
        <w:t>how</w:t>
      </w:r>
      <w:r w:rsidRPr="000A4BDC">
        <w:rPr>
          <w:rFonts w:cstheme="minorHAnsi"/>
          <w:sz w:val="24"/>
          <w:szCs w:val="24"/>
        </w:rPr>
        <w:t xml:space="preserve"> SLTs in particular institutions</w:t>
      </w:r>
      <w:r w:rsidR="00F277F8" w:rsidRPr="000A4BDC">
        <w:rPr>
          <w:rFonts w:cstheme="minorHAnsi"/>
          <w:sz w:val="24"/>
          <w:szCs w:val="24"/>
        </w:rPr>
        <w:t xml:space="preserve"> in England,</w:t>
      </w:r>
      <w:r w:rsidRPr="000A4BDC">
        <w:rPr>
          <w:rFonts w:cstheme="minorHAnsi"/>
          <w:sz w:val="24"/>
          <w:szCs w:val="24"/>
        </w:rPr>
        <w:t xml:space="preserve"> at specific conjunctions in recent times</w:t>
      </w:r>
      <w:r w:rsidR="00F277F8" w:rsidRPr="000A4BDC">
        <w:rPr>
          <w:rFonts w:cstheme="minorHAnsi"/>
          <w:sz w:val="24"/>
          <w:szCs w:val="24"/>
        </w:rPr>
        <w:t>,</w:t>
      </w:r>
      <w:r w:rsidRPr="000A4BDC">
        <w:rPr>
          <w:rFonts w:cstheme="minorHAnsi"/>
          <w:sz w:val="24"/>
          <w:szCs w:val="24"/>
        </w:rPr>
        <w:t xml:space="preserve"> have responded as ‘professionals’ and leaders in defining new ways of learning and organising learning and its ‘outcomes’.   </w:t>
      </w:r>
    </w:p>
    <w:p w14:paraId="5BC22980" w14:textId="77777777" w:rsidR="00997DA2" w:rsidRPr="000A4BDC" w:rsidRDefault="00997DA2" w:rsidP="00997DA2">
      <w:pPr>
        <w:rPr>
          <w:rFonts w:cstheme="minorHAnsi"/>
          <w:b/>
          <w:sz w:val="24"/>
          <w:szCs w:val="24"/>
        </w:rPr>
      </w:pPr>
      <w:r w:rsidRPr="000A4BDC">
        <w:rPr>
          <w:rFonts w:cstheme="minorHAnsi"/>
          <w:b/>
          <w:sz w:val="24"/>
          <w:szCs w:val="24"/>
        </w:rPr>
        <w:t>Reference list</w:t>
      </w:r>
    </w:p>
    <w:p w14:paraId="42BF0923" w14:textId="77777777" w:rsidR="00997DA2" w:rsidRPr="000A4BDC" w:rsidRDefault="00997DA2" w:rsidP="00997DA2">
      <w:pPr>
        <w:jc w:val="both"/>
        <w:rPr>
          <w:rFonts w:cstheme="minorHAnsi"/>
          <w:sz w:val="24"/>
          <w:szCs w:val="24"/>
        </w:rPr>
      </w:pPr>
      <w:r w:rsidRPr="000A4BDC">
        <w:rPr>
          <w:rFonts w:cstheme="minorHAnsi"/>
          <w:sz w:val="24"/>
          <w:szCs w:val="24"/>
        </w:rPr>
        <w:t xml:space="preserve">Adonis, A., (2012), </w:t>
      </w:r>
      <w:r w:rsidRPr="000A4BDC">
        <w:rPr>
          <w:rFonts w:cstheme="minorHAnsi"/>
          <w:i/>
          <w:sz w:val="24"/>
          <w:szCs w:val="24"/>
        </w:rPr>
        <w:t>Education, Education, Education: Reforming England’s Schools</w:t>
      </w:r>
      <w:r w:rsidRPr="000A4BDC">
        <w:rPr>
          <w:rFonts w:cstheme="minorHAnsi"/>
          <w:sz w:val="24"/>
          <w:szCs w:val="24"/>
        </w:rPr>
        <w:t>, London: Biteback Publishing.</w:t>
      </w:r>
    </w:p>
    <w:p w14:paraId="35CE644C" w14:textId="77777777" w:rsidR="00997DA2" w:rsidRPr="000A4BDC" w:rsidRDefault="00997DA2" w:rsidP="00997DA2">
      <w:pPr>
        <w:pStyle w:val="BodyTextIndent2"/>
        <w:ind w:left="0" w:firstLine="0"/>
        <w:jc w:val="both"/>
        <w:rPr>
          <w:rFonts w:asciiTheme="minorHAnsi" w:hAnsiTheme="minorHAnsi" w:cstheme="minorHAnsi"/>
          <w:sz w:val="24"/>
          <w:szCs w:val="24"/>
        </w:rPr>
      </w:pPr>
      <w:r w:rsidRPr="000A4BDC">
        <w:rPr>
          <w:rFonts w:asciiTheme="minorHAnsi" w:hAnsiTheme="minorHAnsi" w:cstheme="minorHAnsi"/>
          <w:sz w:val="24"/>
          <w:szCs w:val="24"/>
        </w:rPr>
        <w:t xml:space="preserve">Archer, M., (2013), </w:t>
      </w:r>
      <w:r w:rsidRPr="000A4BDC">
        <w:rPr>
          <w:rFonts w:asciiTheme="minorHAnsi" w:hAnsiTheme="minorHAnsi" w:cstheme="minorHAnsi"/>
          <w:i/>
          <w:sz w:val="24"/>
          <w:szCs w:val="24"/>
        </w:rPr>
        <w:t>Social Origins of Educational Systems</w:t>
      </w:r>
      <w:r w:rsidRPr="000A4BDC">
        <w:rPr>
          <w:rFonts w:asciiTheme="minorHAnsi" w:hAnsiTheme="minorHAnsi" w:cstheme="minorHAnsi"/>
          <w:sz w:val="24"/>
          <w:szCs w:val="24"/>
        </w:rPr>
        <w:t>, Oxon: Routledge.</w:t>
      </w:r>
    </w:p>
    <w:p w14:paraId="49EA969E" w14:textId="77777777" w:rsidR="00997DA2" w:rsidRPr="000A4BDC" w:rsidRDefault="00997DA2" w:rsidP="00997DA2">
      <w:pPr>
        <w:pStyle w:val="BodyTextIndent2"/>
        <w:ind w:left="0" w:firstLine="0"/>
        <w:jc w:val="both"/>
        <w:rPr>
          <w:rFonts w:asciiTheme="minorHAnsi" w:hAnsiTheme="minorHAnsi" w:cstheme="minorHAnsi"/>
          <w:sz w:val="24"/>
          <w:szCs w:val="24"/>
        </w:rPr>
      </w:pPr>
    </w:p>
    <w:p w14:paraId="47A11187" w14:textId="77777777" w:rsidR="006870CF" w:rsidRPr="00D026CA" w:rsidRDefault="006870CF" w:rsidP="00997DA2">
      <w:pPr>
        <w:jc w:val="both"/>
        <w:rPr>
          <w:rFonts w:cstheme="minorHAnsi"/>
          <w:i/>
          <w:sz w:val="24"/>
          <w:szCs w:val="24"/>
        </w:rPr>
      </w:pPr>
      <w:r w:rsidRPr="000A4BDC">
        <w:rPr>
          <w:rFonts w:cstheme="minorHAnsi"/>
          <w:sz w:val="24"/>
          <w:szCs w:val="24"/>
        </w:rPr>
        <w:t xml:space="preserve">Aronson, E. (2001), Integrating Leadership Styles and Ethical Perspectives, </w:t>
      </w:r>
      <w:r w:rsidRPr="000A4BDC">
        <w:rPr>
          <w:rFonts w:cstheme="minorHAnsi"/>
          <w:i/>
          <w:sz w:val="24"/>
          <w:szCs w:val="24"/>
        </w:rPr>
        <w:t xml:space="preserve">Canadian Journal of Administrative Sciences, </w:t>
      </w:r>
      <w:r w:rsidRPr="00D026CA">
        <w:rPr>
          <w:rFonts w:cstheme="minorHAnsi"/>
          <w:sz w:val="24"/>
          <w:szCs w:val="24"/>
        </w:rPr>
        <w:t>18:4, 244-256.</w:t>
      </w:r>
    </w:p>
    <w:p w14:paraId="092A31A0" w14:textId="77777777" w:rsidR="00997DA2" w:rsidRPr="000A4BDC" w:rsidRDefault="00997DA2" w:rsidP="00997DA2">
      <w:pPr>
        <w:jc w:val="both"/>
        <w:rPr>
          <w:rFonts w:cstheme="minorHAnsi"/>
          <w:sz w:val="24"/>
          <w:szCs w:val="24"/>
        </w:rPr>
      </w:pPr>
      <w:r w:rsidRPr="000A4BDC">
        <w:rPr>
          <w:rFonts w:cstheme="minorHAnsi"/>
          <w:sz w:val="24"/>
          <w:szCs w:val="24"/>
        </w:rPr>
        <w:lastRenderedPageBreak/>
        <w:t xml:space="preserve">Ball, S.J., (2002), </w:t>
      </w:r>
      <w:r w:rsidRPr="000A4BDC">
        <w:rPr>
          <w:rFonts w:cstheme="minorHAnsi"/>
          <w:i/>
          <w:sz w:val="24"/>
          <w:szCs w:val="24"/>
        </w:rPr>
        <w:t xml:space="preserve">Class Strategies and the Education Market: The Middle Classes and Social Advantage, </w:t>
      </w:r>
      <w:r w:rsidRPr="000A4BDC">
        <w:rPr>
          <w:rFonts w:cstheme="minorHAnsi"/>
          <w:sz w:val="24"/>
          <w:szCs w:val="24"/>
        </w:rPr>
        <w:t>London: RoutledgeFalmer.</w:t>
      </w:r>
    </w:p>
    <w:p w14:paraId="32BE88D7" w14:textId="77777777" w:rsidR="00997DA2" w:rsidRPr="000A4BDC" w:rsidRDefault="00997DA2" w:rsidP="00997DA2">
      <w:pPr>
        <w:jc w:val="both"/>
        <w:rPr>
          <w:rFonts w:cstheme="minorHAnsi"/>
          <w:sz w:val="24"/>
          <w:szCs w:val="24"/>
        </w:rPr>
      </w:pPr>
      <w:r w:rsidRPr="000A4BDC">
        <w:rPr>
          <w:rFonts w:cstheme="minorHAnsi"/>
          <w:sz w:val="24"/>
          <w:szCs w:val="24"/>
        </w:rPr>
        <w:t xml:space="preserve">Ball, S.J., (2003), ‘The Risks of Social Reproduction: the Middle Classes and Education Markets’, </w:t>
      </w:r>
      <w:r w:rsidRPr="000A4BDC">
        <w:rPr>
          <w:rFonts w:cstheme="minorHAnsi"/>
          <w:i/>
          <w:sz w:val="24"/>
          <w:szCs w:val="24"/>
        </w:rPr>
        <w:t>London Review of Education</w:t>
      </w:r>
      <w:r w:rsidRPr="000A4BDC">
        <w:rPr>
          <w:rFonts w:cstheme="minorHAnsi"/>
          <w:sz w:val="24"/>
          <w:szCs w:val="24"/>
        </w:rPr>
        <w:t>, 1:3, 163 – 175.</w:t>
      </w:r>
    </w:p>
    <w:p w14:paraId="52945F0B" w14:textId="77777777" w:rsidR="00997DA2" w:rsidRPr="000A4BDC" w:rsidRDefault="00997DA2" w:rsidP="00997DA2">
      <w:pPr>
        <w:jc w:val="both"/>
        <w:rPr>
          <w:rFonts w:cstheme="minorHAnsi"/>
          <w:sz w:val="24"/>
          <w:szCs w:val="24"/>
        </w:rPr>
      </w:pPr>
      <w:r w:rsidRPr="000A4BDC">
        <w:rPr>
          <w:rFonts w:cstheme="minorHAnsi"/>
          <w:sz w:val="24"/>
          <w:szCs w:val="24"/>
        </w:rPr>
        <w:t xml:space="preserve">Ball, S.J., (2006), </w:t>
      </w:r>
      <w:r w:rsidRPr="000A4BDC">
        <w:rPr>
          <w:rFonts w:cstheme="minorHAnsi"/>
          <w:i/>
          <w:sz w:val="24"/>
          <w:szCs w:val="24"/>
        </w:rPr>
        <w:t xml:space="preserve">Education Policy and Social Class: The Selected Works of Stephen J. Ball, </w:t>
      </w:r>
      <w:r w:rsidRPr="000A4BDC">
        <w:rPr>
          <w:rFonts w:cstheme="minorHAnsi"/>
          <w:sz w:val="24"/>
          <w:szCs w:val="24"/>
        </w:rPr>
        <w:t>Oxon: Routledge.</w:t>
      </w:r>
    </w:p>
    <w:p w14:paraId="210F1904" w14:textId="77777777" w:rsidR="00997DA2" w:rsidRPr="000A4BDC" w:rsidRDefault="00997DA2" w:rsidP="00997DA2">
      <w:pPr>
        <w:jc w:val="both"/>
        <w:rPr>
          <w:rFonts w:cstheme="minorHAnsi"/>
          <w:sz w:val="24"/>
          <w:szCs w:val="24"/>
        </w:rPr>
      </w:pPr>
      <w:r w:rsidRPr="000A4BDC">
        <w:rPr>
          <w:rFonts w:cstheme="minorHAnsi"/>
          <w:sz w:val="24"/>
          <w:szCs w:val="24"/>
        </w:rPr>
        <w:t xml:space="preserve">Ball, S.J., (2007), </w:t>
      </w:r>
      <w:r w:rsidRPr="000A4BDC">
        <w:rPr>
          <w:rFonts w:cstheme="minorHAnsi"/>
          <w:i/>
          <w:sz w:val="24"/>
          <w:szCs w:val="24"/>
        </w:rPr>
        <w:t xml:space="preserve">Education plc: Understanding Private Sector Participation in Public Sector Education, </w:t>
      </w:r>
      <w:r w:rsidRPr="000A4BDC">
        <w:rPr>
          <w:rFonts w:cstheme="minorHAnsi"/>
          <w:sz w:val="24"/>
          <w:szCs w:val="24"/>
        </w:rPr>
        <w:t>Oxon: Routledge.</w:t>
      </w:r>
    </w:p>
    <w:p w14:paraId="5B3F7722" w14:textId="77777777" w:rsidR="00997DA2" w:rsidRPr="000A4BDC" w:rsidRDefault="00997DA2" w:rsidP="00997DA2">
      <w:pPr>
        <w:jc w:val="both"/>
        <w:rPr>
          <w:rFonts w:cstheme="minorHAnsi"/>
          <w:sz w:val="24"/>
          <w:szCs w:val="24"/>
        </w:rPr>
      </w:pPr>
      <w:r w:rsidRPr="000A4BDC">
        <w:rPr>
          <w:rFonts w:cstheme="minorHAnsi"/>
          <w:sz w:val="24"/>
          <w:szCs w:val="24"/>
        </w:rPr>
        <w:t xml:space="preserve">Ball, S.J., (2012), </w:t>
      </w:r>
      <w:r w:rsidRPr="000A4BDC">
        <w:rPr>
          <w:rFonts w:cstheme="minorHAnsi"/>
          <w:i/>
          <w:sz w:val="24"/>
          <w:szCs w:val="24"/>
        </w:rPr>
        <w:t xml:space="preserve">Global Education Inc. – New Policy Networks and the Neo-Liberal Imaginary, </w:t>
      </w:r>
      <w:r w:rsidRPr="000A4BDC">
        <w:rPr>
          <w:rFonts w:cstheme="minorHAnsi"/>
          <w:sz w:val="24"/>
          <w:szCs w:val="24"/>
        </w:rPr>
        <w:t>Oxon: Routledge.</w:t>
      </w:r>
    </w:p>
    <w:p w14:paraId="644E35CC" w14:textId="090DE1A3" w:rsidR="00997DA2" w:rsidRPr="000A4BDC" w:rsidRDefault="00997DA2" w:rsidP="00997DA2">
      <w:pPr>
        <w:jc w:val="both"/>
        <w:rPr>
          <w:rFonts w:cstheme="minorHAnsi"/>
          <w:sz w:val="24"/>
          <w:szCs w:val="24"/>
        </w:rPr>
      </w:pPr>
      <w:r w:rsidRPr="000A4BDC">
        <w:rPr>
          <w:rFonts w:cstheme="minorHAnsi"/>
          <w:sz w:val="24"/>
          <w:szCs w:val="24"/>
        </w:rPr>
        <w:t xml:space="preserve">Beck, J., (2007), Education and the Middle Classes: Against Reductionism in Educational Theory and Research, </w:t>
      </w:r>
      <w:r w:rsidRPr="000A4BDC">
        <w:rPr>
          <w:rFonts w:cstheme="minorHAnsi"/>
          <w:i/>
          <w:sz w:val="24"/>
          <w:szCs w:val="24"/>
        </w:rPr>
        <w:t xml:space="preserve">British Journal of Educational Studies, </w:t>
      </w:r>
      <w:r w:rsidRPr="000A4BDC">
        <w:rPr>
          <w:rFonts w:cstheme="minorHAnsi"/>
          <w:sz w:val="24"/>
          <w:szCs w:val="24"/>
        </w:rPr>
        <w:t>55:1, 37-55.</w:t>
      </w:r>
    </w:p>
    <w:p w14:paraId="33D3764B" w14:textId="4604BAD5" w:rsidR="00872EE7" w:rsidRPr="000A4BDC" w:rsidRDefault="00872EE7" w:rsidP="00997DA2">
      <w:pPr>
        <w:jc w:val="both"/>
        <w:rPr>
          <w:rFonts w:cstheme="minorHAnsi"/>
          <w:sz w:val="24"/>
          <w:szCs w:val="24"/>
        </w:rPr>
      </w:pPr>
      <w:r>
        <w:rPr>
          <w:rFonts w:cstheme="minorHAnsi"/>
          <w:sz w:val="24"/>
          <w:szCs w:val="24"/>
        </w:rPr>
        <w:t xml:space="preserve">Best Schools (2017), </w:t>
      </w:r>
      <w:hyperlink r:id="rId8" w:history="1">
        <w:r w:rsidRPr="005E002D">
          <w:rPr>
            <w:rStyle w:val="Hyperlink"/>
            <w:rFonts w:cstheme="minorHAnsi"/>
            <w:sz w:val="24"/>
            <w:szCs w:val="24"/>
          </w:rPr>
          <w:t>https://www.best-schools.co.uk/</w:t>
        </w:r>
      </w:hyperlink>
      <w:r>
        <w:rPr>
          <w:rFonts w:cstheme="minorHAnsi"/>
          <w:sz w:val="24"/>
          <w:szCs w:val="24"/>
        </w:rPr>
        <w:t xml:space="preserve"> [accessed 12 February 2017].</w:t>
      </w:r>
    </w:p>
    <w:p w14:paraId="7808196D" w14:textId="77777777" w:rsidR="00997DA2" w:rsidRPr="000A4BDC" w:rsidRDefault="00997DA2" w:rsidP="00997DA2">
      <w:pPr>
        <w:jc w:val="both"/>
        <w:rPr>
          <w:rFonts w:cstheme="minorHAnsi"/>
          <w:sz w:val="24"/>
          <w:szCs w:val="24"/>
        </w:rPr>
      </w:pPr>
      <w:r w:rsidRPr="000A4BDC">
        <w:rPr>
          <w:rFonts w:cstheme="minorHAnsi"/>
          <w:sz w:val="24"/>
          <w:szCs w:val="24"/>
        </w:rPr>
        <w:t xml:space="preserve">Bourdieu, P., (1986), </w:t>
      </w:r>
      <w:r w:rsidRPr="000A4BDC">
        <w:rPr>
          <w:rFonts w:cstheme="minorHAnsi"/>
          <w:i/>
          <w:sz w:val="24"/>
          <w:szCs w:val="24"/>
        </w:rPr>
        <w:t>Distinction,</w:t>
      </w:r>
      <w:r w:rsidRPr="000A4BDC">
        <w:rPr>
          <w:rFonts w:cstheme="minorHAnsi"/>
          <w:sz w:val="24"/>
          <w:szCs w:val="24"/>
        </w:rPr>
        <w:t xml:space="preserve"> London: Routledge.</w:t>
      </w:r>
    </w:p>
    <w:p w14:paraId="69C45CDC" w14:textId="77777777" w:rsidR="00997DA2" w:rsidRPr="000A4BDC" w:rsidRDefault="00997DA2" w:rsidP="00997DA2">
      <w:pPr>
        <w:jc w:val="both"/>
        <w:rPr>
          <w:rFonts w:cstheme="minorHAnsi"/>
          <w:sz w:val="24"/>
          <w:szCs w:val="24"/>
        </w:rPr>
      </w:pPr>
      <w:r w:rsidRPr="000A4BDC">
        <w:rPr>
          <w:rFonts w:cstheme="minorHAnsi"/>
          <w:sz w:val="24"/>
          <w:szCs w:val="24"/>
        </w:rPr>
        <w:t xml:space="preserve">Bourdieu, P., Passeron, J.C., (1990), </w:t>
      </w:r>
      <w:r w:rsidRPr="000A4BDC">
        <w:rPr>
          <w:rFonts w:cstheme="minorHAnsi"/>
          <w:i/>
          <w:sz w:val="24"/>
          <w:szCs w:val="24"/>
        </w:rPr>
        <w:t>Reproduction in Education, Society and Culture</w:t>
      </w:r>
      <w:r w:rsidRPr="000A4BDC">
        <w:rPr>
          <w:rFonts w:cstheme="minorHAnsi"/>
          <w:sz w:val="24"/>
          <w:szCs w:val="24"/>
        </w:rPr>
        <w:t>, 2</w:t>
      </w:r>
      <w:r w:rsidRPr="000A4BDC">
        <w:rPr>
          <w:rFonts w:cstheme="minorHAnsi"/>
          <w:sz w:val="24"/>
          <w:szCs w:val="24"/>
          <w:vertAlign w:val="superscript"/>
        </w:rPr>
        <w:t>nd</w:t>
      </w:r>
      <w:r w:rsidRPr="000A4BDC">
        <w:rPr>
          <w:rFonts w:cstheme="minorHAnsi"/>
          <w:sz w:val="24"/>
          <w:szCs w:val="24"/>
        </w:rPr>
        <w:t xml:space="preserve"> Edition, London: Sage.</w:t>
      </w:r>
    </w:p>
    <w:p w14:paraId="2D2B6447" w14:textId="77777777" w:rsidR="00997DA2" w:rsidRPr="000A4BDC" w:rsidRDefault="00997DA2" w:rsidP="00997DA2">
      <w:pPr>
        <w:jc w:val="both"/>
        <w:rPr>
          <w:rFonts w:cstheme="minorHAnsi"/>
          <w:sz w:val="24"/>
          <w:szCs w:val="24"/>
        </w:rPr>
      </w:pPr>
      <w:r w:rsidRPr="000A4BDC">
        <w:rPr>
          <w:rFonts w:cstheme="minorHAnsi"/>
          <w:sz w:val="24"/>
          <w:szCs w:val="24"/>
        </w:rPr>
        <w:t xml:space="preserve">Bourdieu, P., (1992), </w:t>
      </w:r>
      <w:r w:rsidRPr="000A4BDC">
        <w:rPr>
          <w:rFonts w:cstheme="minorHAnsi"/>
          <w:i/>
          <w:sz w:val="24"/>
          <w:szCs w:val="24"/>
        </w:rPr>
        <w:t>The Logic of Practice</w:t>
      </w:r>
      <w:r w:rsidRPr="000A4BDC">
        <w:rPr>
          <w:rFonts w:cstheme="minorHAnsi"/>
          <w:sz w:val="24"/>
          <w:szCs w:val="24"/>
        </w:rPr>
        <w:t>, Cambridge: Polity Press.</w:t>
      </w:r>
    </w:p>
    <w:p w14:paraId="74B2B109" w14:textId="3A2710CA" w:rsidR="00997DA2" w:rsidRDefault="00997DA2" w:rsidP="00997DA2">
      <w:pPr>
        <w:jc w:val="both"/>
        <w:rPr>
          <w:rFonts w:cstheme="minorHAnsi"/>
          <w:sz w:val="24"/>
          <w:szCs w:val="24"/>
        </w:rPr>
      </w:pPr>
      <w:r w:rsidRPr="000A4BDC">
        <w:rPr>
          <w:rFonts w:cstheme="minorHAnsi"/>
          <w:sz w:val="24"/>
          <w:szCs w:val="24"/>
        </w:rPr>
        <w:t xml:space="preserve">Brown, P., (2013), Education, Opportunity and the Prospects for Social Mobility, </w:t>
      </w:r>
      <w:r w:rsidRPr="000A4BDC">
        <w:rPr>
          <w:rFonts w:cstheme="minorHAnsi"/>
          <w:i/>
          <w:sz w:val="24"/>
          <w:szCs w:val="24"/>
        </w:rPr>
        <w:t>British Journal of Sociology of Education</w:t>
      </w:r>
      <w:r w:rsidRPr="000A4BDC">
        <w:rPr>
          <w:rFonts w:cstheme="minorHAnsi"/>
          <w:sz w:val="24"/>
          <w:szCs w:val="24"/>
        </w:rPr>
        <w:t>, 39:6, 811-827.</w:t>
      </w:r>
    </w:p>
    <w:p w14:paraId="07BBD959" w14:textId="2A5BB4B9" w:rsidR="00AC48EC" w:rsidRPr="00AC48EC" w:rsidRDefault="00AC48EC" w:rsidP="00997DA2">
      <w:pPr>
        <w:jc w:val="both"/>
        <w:rPr>
          <w:rFonts w:cstheme="minorHAnsi"/>
          <w:sz w:val="24"/>
          <w:szCs w:val="24"/>
        </w:rPr>
      </w:pPr>
      <w:r w:rsidRPr="001A3A96">
        <w:rPr>
          <w:rFonts w:cstheme="minorHAnsi"/>
          <w:sz w:val="24"/>
          <w:szCs w:val="24"/>
        </w:rPr>
        <w:t xml:space="preserve">Bunnell, T., (2008), The global growth of the International Baccalaureate Diploma Programme over the first 40 years: a critical assessment, </w:t>
      </w:r>
      <w:r w:rsidRPr="001A3A96">
        <w:rPr>
          <w:rFonts w:cstheme="minorHAnsi"/>
          <w:i/>
          <w:sz w:val="24"/>
          <w:szCs w:val="24"/>
        </w:rPr>
        <w:t>Comparative Education</w:t>
      </w:r>
      <w:r w:rsidRPr="001A3A96">
        <w:rPr>
          <w:rFonts w:cstheme="minorHAnsi"/>
          <w:sz w:val="24"/>
          <w:szCs w:val="24"/>
        </w:rPr>
        <w:t>, 44:4, 409 – 424.</w:t>
      </w:r>
    </w:p>
    <w:p w14:paraId="063E9DC9" w14:textId="77777777" w:rsidR="00997DA2" w:rsidRPr="000A4BDC" w:rsidRDefault="00997DA2" w:rsidP="00997DA2">
      <w:pPr>
        <w:spacing w:line="240" w:lineRule="auto"/>
        <w:jc w:val="both"/>
        <w:rPr>
          <w:rFonts w:cstheme="minorHAnsi"/>
          <w:sz w:val="24"/>
          <w:szCs w:val="24"/>
        </w:rPr>
      </w:pPr>
      <w:r w:rsidRPr="000A4BDC">
        <w:rPr>
          <w:rFonts w:cstheme="minorHAnsi"/>
          <w:sz w:val="24"/>
          <w:szCs w:val="24"/>
        </w:rPr>
        <w:t xml:space="preserve">Bunnell, T., (2011), The International Baccalaureate and ‘Growth Scepticism’: a ‘Social Limits’ Framework, </w:t>
      </w:r>
      <w:r w:rsidRPr="000A4BDC">
        <w:rPr>
          <w:rFonts w:cstheme="minorHAnsi"/>
          <w:i/>
          <w:sz w:val="24"/>
          <w:szCs w:val="24"/>
        </w:rPr>
        <w:t>International Studies in the Sociology of Education</w:t>
      </w:r>
      <w:r w:rsidRPr="000A4BDC">
        <w:rPr>
          <w:rFonts w:cstheme="minorHAnsi"/>
          <w:sz w:val="24"/>
          <w:szCs w:val="24"/>
        </w:rPr>
        <w:t>, 21:2, 161-176.</w:t>
      </w:r>
    </w:p>
    <w:p w14:paraId="186BFD20" w14:textId="0A929D29" w:rsidR="00AC48EC" w:rsidRDefault="0010232C" w:rsidP="00D026CA">
      <w:pPr>
        <w:spacing w:line="240" w:lineRule="auto"/>
        <w:jc w:val="both"/>
        <w:rPr>
          <w:rFonts w:cstheme="minorHAnsi"/>
          <w:sz w:val="24"/>
          <w:szCs w:val="24"/>
        </w:rPr>
      </w:pPr>
      <w:r w:rsidRPr="004C02A9">
        <w:rPr>
          <w:rFonts w:cstheme="minorHAnsi"/>
          <w:color w:val="000000"/>
          <w:sz w:val="24"/>
          <w:szCs w:val="24"/>
          <w:shd w:val="clear" w:color="auto" w:fill="FFFFFF"/>
        </w:rPr>
        <w:t>Bunnell, T., (2015), The rise and decline of the International Baccalaureate Diploma Pro</w:t>
      </w:r>
      <w:r w:rsidRPr="000A4BDC">
        <w:rPr>
          <w:rFonts w:cstheme="minorHAnsi"/>
          <w:color w:val="000000"/>
          <w:sz w:val="24"/>
          <w:szCs w:val="24"/>
          <w:shd w:val="clear" w:color="auto" w:fill="FFFFFF"/>
        </w:rPr>
        <w:t>gramme in the United Kingdom,</w:t>
      </w:r>
      <w:r w:rsidRPr="000A4BDC">
        <w:rPr>
          <w:rStyle w:val="apple-converted-space"/>
          <w:rFonts w:cstheme="minorHAnsi"/>
          <w:color w:val="000000"/>
          <w:sz w:val="24"/>
          <w:szCs w:val="24"/>
          <w:shd w:val="clear" w:color="auto" w:fill="FFFFFF"/>
        </w:rPr>
        <w:t> </w:t>
      </w:r>
      <w:r w:rsidRPr="000A4BDC">
        <w:rPr>
          <w:rFonts w:cstheme="minorHAnsi"/>
          <w:i/>
          <w:iCs/>
          <w:color w:val="000000"/>
          <w:sz w:val="24"/>
          <w:szCs w:val="24"/>
          <w:shd w:val="clear" w:color="auto" w:fill="FFFFFF"/>
        </w:rPr>
        <w:t>Oxford Review of Education</w:t>
      </w:r>
      <w:r w:rsidRPr="000A4BDC">
        <w:rPr>
          <w:rFonts w:cstheme="minorHAnsi"/>
          <w:color w:val="000000"/>
          <w:sz w:val="24"/>
          <w:szCs w:val="24"/>
          <w:shd w:val="clear" w:color="auto" w:fill="FFFFFF"/>
        </w:rPr>
        <w:t>, 41:3, 387-403.</w:t>
      </w:r>
    </w:p>
    <w:p w14:paraId="38E21655" w14:textId="77777777" w:rsidR="00997DA2" w:rsidRPr="000A4BDC" w:rsidRDefault="00997DA2" w:rsidP="00997DA2">
      <w:pPr>
        <w:jc w:val="both"/>
        <w:rPr>
          <w:rFonts w:cstheme="minorHAnsi"/>
          <w:sz w:val="24"/>
          <w:szCs w:val="24"/>
        </w:rPr>
      </w:pPr>
      <w:r w:rsidRPr="000A4BDC">
        <w:rPr>
          <w:rFonts w:cstheme="minorHAnsi"/>
          <w:sz w:val="24"/>
          <w:szCs w:val="24"/>
        </w:rPr>
        <w:t xml:space="preserve">Chitty, C., (2009), </w:t>
      </w:r>
      <w:r w:rsidRPr="000A4BDC">
        <w:rPr>
          <w:rFonts w:cstheme="minorHAnsi"/>
          <w:i/>
          <w:sz w:val="24"/>
          <w:szCs w:val="24"/>
        </w:rPr>
        <w:t>Education Policy in Britain</w:t>
      </w:r>
      <w:r w:rsidRPr="000A4BDC">
        <w:rPr>
          <w:rFonts w:cstheme="minorHAnsi"/>
          <w:sz w:val="24"/>
          <w:szCs w:val="24"/>
        </w:rPr>
        <w:t>, Second Edition, Basingstoke: Palgrave Macmillan.</w:t>
      </w:r>
    </w:p>
    <w:p w14:paraId="1B0FCB0E" w14:textId="593722C9" w:rsidR="00997DA2" w:rsidRPr="000A4BDC" w:rsidRDefault="00997DA2">
      <w:pPr>
        <w:jc w:val="both"/>
        <w:rPr>
          <w:rFonts w:cstheme="minorHAnsi"/>
          <w:sz w:val="24"/>
          <w:szCs w:val="24"/>
        </w:rPr>
      </w:pPr>
      <w:r w:rsidRPr="000A4BDC">
        <w:rPr>
          <w:rFonts w:cstheme="minorHAnsi"/>
          <w:sz w:val="24"/>
          <w:szCs w:val="24"/>
        </w:rPr>
        <w:t xml:space="preserve">Cribb, A., Ball, S.J., (2005), Towards and Ethical Audit of the Privatisation of Education. </w:t>
      </w:r>
      <w:r w:rsidRPr="000A4BDC">
        <w:rPr>
          <w:rFonts w:cstheme="minorHAnsi"/>
          <w:i/>
          <w:sz w:val="24"/>
          <w:szCs w:val="24"/>
        </w:rPr>
        <w:t xml:space="preserve">British Journal of Educational Studies, </w:t>
      </w:r>
      <w:r w:rsidRPr="000A4BDC">
        <w:rPr>
          <w:rFonts w:cstheme="minorHAnsi"/>
          <w:sz w:val="24"/>
          <w:szCs w:val="24"/>
        </w:rPr>
        <w:t>53:2, 115-128.</w:t>
      </w:r>
    </w:p>
    <w:p w14:paraId="47ED9168" w14:textId="77777777" w:rsidR="00997DA2" w:rsidRPr="000A4BDC" w:rsidRDefault="00997DA2" w:rsidP="00997DA2">
      <w:pPr>
        <w:jc w:val="both"/>
        <w:rPr>
          <w:rFonts w:cstheme="minorHAnsi"/>
          <w:sz w:val="24"/>
          <w:szCs w:val="24"/>
        </w:rPr>
      </w:pPr>
      <w:r w:rsidRPr="000A4BDC">
        <w:rPr>
          <w:rFonts w:cstheme="minorHAnsi"/>
          <w:sz w:val="24"/>
          <w:szCs w:val="24"/>
        </w:rPr>
        <w:t xml:space="preserve">DfE, (2014), </w:t>
      </w:r>
      <w:r w:rsidRPr="000A4BDC">
        <w:rPr>
          <w:rFonts w:cstheme="minorHAnsi"/>
          <w:i/>
          <w:sz w:val="24"/>
          <w:szCs w:val="24"/>
        </w:rPr>
        <w:t>Pupil Premium: Funding for Schools and Alternative Provision</w:t>
      </w:r>
      <w:r w:rsidRPr="000A4BDC">
        <w:rPr>
          <w:rFonts w:cstheme="minorHAnsi"/>
          <w:sz w:val="24"/>
          <w:szCs w:val="24"/>
        </w:rPr>
        <w:t xml:space="preserve">[online]. Available at: </w:t>
      </w:r>
      <w:hyperlink r:id="rId9" w:history="1">
        <w:r w:rsidRPr="000A4BDC">
          <w:rPr>
            <w:rStyle w:val="Hyperlink"/>
            <w:rFonts w:cstheme="minorHAnsi"/>
            <w:sz w:val="24"/>
            <w:szCs w:val="24"/>
          </w:rPr>
          <w:t>https://www.gov.uk/pupil-premium-information-for-schools-and-alternative-provision-settings</w:t>
        </w:r>
      </w:hyperlink>
      <w:r w:rsidRPr="000A4BDC">
        <w:rPr>
          <w:rFonts w:cstheme="minorHAnsi"/>
          <w:sz w:val="24"/>
          <w:szCs w:val="24"/>
        </w:rPr>
        <w:t xml:space="preserve"> [accessed 30 July 2014].</w:t>
      </w:r>
    </w:p>
    <w:p w14:paraId="7FF01AE5" w14:textId="77777777" w:rsidR="00997DA2" w:rsidRPr="000A4BDC" w:rsidRDefault="00997DA2" w:rsidP="00997DA2">
      <w:pPr>
        <w:rPr>
          <w:rFonts w:eastAsia="Times New Roman" w:cstheme="minorHAnsi"/>
          <w:color w:val="000000"/>
          <w:sz w:val="24"/>
          <w:szCs w:val="24"/>
          <w:lang w:eastAsia="en-GB"/>
        </w:rPr>
      </w:pPr>
      <w:r w:rsidRPr="000A4BDC">
        <w:rPr>
          <w:rFonts w:cstheme="minorHAnsi"/>
          <w:sz w:val="24"/>
          <w:szCs w:val="24"/>
        </w:rPr>
        <w:t xml:space="preserve">DfE, (2015), </w:t>
      </w:r>
      <w:hyperlink r:id="rId10" w:tgtFrame="_blank" w:history="1">
        <w:r w:rsidRPr="000A4BDC">
          <w:rPr>
            <w:rFonts w:eastAsia="Times New Roman" w:cstheme="minorHAnsi"/>
            <w:color w:val="0000FF"/>
            <w:sz w:val="24"/>
            <w:szCs w:val="24"/>
            <w:u w:val="single"/>
            <w:lang w:eastAsia="en-GB"/>
          </w:rPr>
          <w:t>https://www.gov.uk/government/speeches/gcse-and-a-level-reform</w:t>
        </w:r>
      </w:hyperlink>
      <w:r w:rsidRPr="000A4BDC">
        <w:rPr>
          <w:rFonts w:eastAsia="Times New Roman" w:cstheme="minorHAnsi"/>
          <w:color w:val="000000"/>
          <w:sz w:val="24"/>
          <w:szCs w:val="24"/>
          <w:lang w:eastAsia="en-GB"/>
        </w:rPr>
        <w:t xml:space="preserve"> [accessed 02/04/16].</w:t>
      </w:r>
    </w:p>
    <w:p w14:paraId="3944B469" w14:textId="77777777" w:rsidR="00997DA2" w:rsidRPr="000A4BDC" w:rsidRDefault="00997DA2" w:rsidP="00997DA2">
      <w:pPr>
        <w:jc w:val="both"/>
        <w:rPr>
          <w:rFonts w:cstheme="minorHAnsi"/>
          <w:sz w:val="24"/>
          <w:szCs w:val="24"/>
        </w:rPr>
      </w:pPr>
      <w:r w:rsidRPr="000A4BDC">
        <w:rPr>
          <w:rFonts w:cstheme="minorHAnsi"/>
          <w:sz w:val="24"/>
          <w:szCs w:val="24"/>
        </w:rPr>
        <w:lastRenderedPageBreak/>
        <w:t xml:space="preserve">Doherty, C., Mu, L., Shield, P., (2009), Planning Mobile Futures: the Border Artistry International Baccalaureate Diploma Choosers, </w:t>
      </w:r>
      <w:r w:rsidRPr="000A4BDC">
        <w:rPr>
          <w:rFonts w:cstheme="minorHAnsi"/>
          <w:i/>
          <w:sz w:val="24"/>
          <w:szCs w:val="24"/>
        </w:rPr>
        <w:t>British Journal of Sociology of Education</w:t>
      </w:r>
      <w:r w:rsidRPr="000A4BDC">
        <w:rPr>
          <w:rFonts w:cstheme="minorHAnsi"/>
          <w:sz w:val="24"/>
          <w:szCs w:val="24"/>
        </w:rPr>
        <w:t>, 30: 6, 757 - 771.</w:t>
      </w:r>
    </w:p>
    <w:p w14:paraId="1BC9E54E" w14:textId="77777777" w:rsidR="00997DA2" w:rsidRPr="000A4BDC" w:rsidRDefault="00997DA2" w:rsidP="00997DA2">
      <w:pPr>
        <w:pStyle w:val="BodyTextIndent2"/>
        <w:ind w:left="0" w:firstLine="0"/>
        <w:jc w:val="both"/>
        <w:rPr>
          <w:rFonts w:asciiTheme="minorHAnsi" w:hAnsiTheme="minorHAnsi" w:cstheme="minorHAnsi"/>
          <w:sz w:val="24"/>
          <w:szCs w:val="24"/>
        </w:rPr>
      </w:pPr>
      <w:r w:rsidRPr="000A4BDC">
        <w:rPr>
          <w:rFonts w:asciiTheme="minorHAnsi" w:hAnsiTheme="minorHAnsi" w:cstheme="minorHAnsi"/>
          <w:sz w:val="24"/>
          <w:szCs w:val="24"/>
        </w:rPr>
        <w:t xml:space="preserve">Dorey, P., (2014), </w:t>
      </w:r>
      <w:r w:rsidRPr="000A4BDC">
        <w:rPr>
          <w:rFonts w:asciiTheme="minorHAnsi" w:hAnsiTheme="minorHAnsi" w:cstheme="minorHAnsi"/>
          <w:i/>
          <w:iCs/>
          <w:sz w:val="24"/>
          <w:szCs w:val="24"/>
        </w:rPr>
        <w:t>Policy Making in Britain</w:t>
      </w:r>
      <w:r w:rsidRPr="000A4BDC">
        <w:rPr>
          <w:rFonts w:asciiTheme="minorHAnsi" w:hAnsiTheme="minorHAnsi" w:cstheme="minorHAnsi"/>
          <w:sz w:val="24"/>
          <w:szCs w:val="24"/>
        </w:rPr>
        <w:t>, Second Edition, London: Sage.</w:t>
      </w:r>
    </w:p>
    <w:p w14:paraId="2B6EADEA" w14:textId="77777777" w:rsidR="00997DA2" w:rsidRPr="000A4BDC" w:rsidRDefault="00997DA2" w:rsidP="00997DA2">
      <w:pPr>
        <w:pStyle w:val="BodyTextIndent2"/>
        <w:ind w:left="0" w:firstLine="0"/>
        <w:jc w:val="both"/>
        <w:rPr>
          <w:rFonts w:asciiTheme="minorHAnsi" w:hAnsiTheme="minorHAnsi" w:cstheme="minorHAnsi"/>
          <w:sz w:val="24"/>
          <w:szCs w:val="24"/>
        </w:rPr>
      </w:pPr>
    </w:p>
    <w:p w14:paraId="5012B5E9" w14:textId="77777777" w:rsidR="00997DA2" w:rsidRPr="000A4BDC" w:rsidRDefault="00997DA2" w:rsidP="00997DA2">
      <w:pPr>
        <w:pStyle w:val="BodyTextIndent2"/>
        <w:ind w:left="0" w:firstLine="0"/>
        <w:jc w:val="both"/>
        <w:rPr>
          <w:rFonts w:asciiTheme="minorHAnsi" w:hAnsiTheme="minorHAnsi" w:cstheme="minorHAnsi"/>
          <w:sz w:val="24"/>
          <w:szCs w:val="24"/>
        </w:rPr>
      </w:pPr>
      <w:r w:rsidRPr="000A4BDC">
        <w:rPr>
          <w:rFonts w:asciiTheme="minorHAnsi" w:hAnsiTheme="minorHAnsi" w:cstheme="minorHAnsi"/>
          <w:sz w:val="24"/>
          <w:szCs w:val="24"/>
        </w:rPr>
        <w:t xml:space="preserve">Dorling, D., (2014), </w:t>
      </w:r>
      <w:r w:rsidRPr="000A4BDC">
        <w:rPr>
          <w:rFonts w:asciiTheme="minorHAnsi" w:hAnsiTheme="minorHAnsi" w:cstheme="minorHAnsi"/>
          <w:i/>
          <w:sz w:val="24"/>
          <w:szCs w:val="24"/>
        </w:rPr>
        <w:t>Can we Afford the Rich?: Inequality and the 1%</w:t>
      </w:r>
      <w:r w:rsidRPr="000A4BDC">
        <w:rPr>
          <w:rFonts w:asciiTheme="minorHAnsi" w:hAnsiTheme="minorHAnsi" w:cstheme="minorHAnsi"/>
          <w:sz w:val="24"/>
          <w:szCs w:val="24"/>
        </w:rPr>
        <w:t xml:space="preserve">, London: Verso. </w:t>
      </w:r>
    </w:p>
    <w:p w14:paraId="78D9858E" w14:textId="77777777" w:rsidR="00997DA2" w:rsidRPr="000A4BDC" w:rsidRDefault="00997DA2" w:rsidP="00997DA2">
      <w:pPr>
        <w:jc w:val="both"/>
        <w:rPr>
          <w:rFonts w:cstheme="minorHAnsi"/>
          <w:sz w:val="24"/>
          <w:szCs w:val="24"/>
        </w:rPr>
      </w:pPr>
      <w:r w:rsidRPr="000A4BDC">
        <w:rPr>
          <w:rFonts w:cstheme="minorHAnsi"/>
          <w:sz w:val="24"/>
          <w:szCs w:val="24"/>
        </w:rPr>
        <w:t xml:space="preserve">Exley, S., Suissa, J., (2013), Private Schools, Choice and The Ethical Environment, </w:t>
      </w:r>
      <w:r w:rsidRPr="000A4BDC">
        <w:rPr>
          <w:rFonts w:cstheme="minorHAnsi"/>
          <w:i/>
          <w:sz w:val="24"/>
          <w:szCs w:val="24"/>
        </w:rPr>
        <w:t xml:space="preserve">British Journal of Educational Studies, </w:t>
      </w:r>
      <w:r w:rsidRPr="000A4BDC">
        <w:rPr>
          <w:rFonts w:cstheme="minorHAnsi"/>
          <w:sz w:val="24"/>
          <w:szCs w:val="24"/>
        </w:rPr>
        <w:t>61:3, 345-362.</w:t>
      </w:r>
    </w:p>
    <w:p w14:paraId="41F55133" w14:textId="333E6897" w:rsidR="006870CF" w:rsidRPr="00D026CA" w:rsidRDefault="006870CF" w:rsidP="00997DA2">
      <w:pPr>
        <w:jc w:val="both"/>
        <w:rPr>
          <w:rFonts w:cstheme="minorHAnsi"/>
          <w:sz w:val="24"/>
          <w:szCs w:val="24"/>
          <w:lang w:val="en-US"/>
        </w:rPr>
      </w:pPr>
      <w:r w:rsidRPr="00D026CA">
        <w:rPr>
          <w:rFonts w:cstheme="minorHAnsi"/>
          <w:sz w:val="24"/>
          <w:szCs w:val="24"/>
          <w:lang w:val="en-US"/>
        </w:rPr>
        <w:t xml:space="preserve">Earley, P. (2013), </w:t>
      </w:r>
      <w:r w:rsidRPr="00D026CA">
        <w:rPr>
          <w:rFonts w:cstheme="minorHAnsi"/>
          <w:i/>
          <w:sz w:val="24"/>
          <w:szCs w:val="24"/>
          <w:lang w:val="en-US"/>
        </w:rPr>
        <w:t>Exploring the school leadership landscape: changing demands, changing realities</w:t>
      </w:r>
      <w:r w:rsidRPr="000A4BDC">
        <w:rPr>
          <w:rFonts w:cstheme="minorHAnsi"/>
          <w:sz w:val="24"/>
          <w:szCs w:val="24"/>
          <w:lang w:val="en-US"/>
        </w:rPr>
        <w:t>, London: Bloomsbury.</w:t>
      </w:r>
    </w:p>
    <w:p w14:paraId="7B38E718" w14:textId="77777777" w:rsidR="00997DA2" w:rsidRPr="000A4BDC" w:rsidRDefault="00997DA2" w:rsidP="00997DA2">
      <w:pPr>
        <w:jc w:val="both"/>
        <w:rPr>
          <w:rFonts w:cstheme="minorHAnsi"/>
          <w:sz w:val="24"/>
          <w:szCs w:val="24"/>
        </w:rPr>
      </w:pPr>
      <w:r w:rsidRPr="00D026CA">
        <w:rPr>
          <w:rFonts w:cstheme="minorHAnsi"/>
          <w:sz w:val="24"/>
          <w:szCs w:val="24"/>
          <w:lang w:val="es-AR"/>
        </w:rPr>
        <w:t xml:space="preserve">Exley, S., Suissa, J., (2013). </w:t>
      </w:r>
      <w:r w:rsidRPr="000A4BDC">
        <w:rPr>
          <w:rFonts w:cstheme="minorHAnsi"/>
          <w:sz w:val="24"/>
          <w:szCs w:val="24"/>
        </w:rPr>
        <w:t xml:space="preserve">Private Schools, Choice and the Ethical Environment. </w:t>
      </w:r>
      <w:r w:rsidRPr="000A4BDC">
        <w:rPr>
          <w:rFonts w:cstheme="minorHAnsi"/>
          <w:i/>
          <w:sz w:val="24"/>
          <w:szCs w:val="24"/>
        </w:rPr>
        <w:t xml:space="preserve">British Journal of Educational Studies. </w:t>
      </w:r>
      <w:r w:rsidRPr="000A4BDC">
        <w:rPr>
          <w:rFonts w:cstheme="minorHAnsi"/>
          <w:sz w:val="24"/>
          <w:szCs w:val="24"/>
        </w:rPr>
        <w:t>61:3, 354-362.</w:t>
      </w:r>
    </w:p>
    <w:p w14:paraId="51066E31" w14:textId="77777777" w:rsidR="00997DA2" w:rsidRPr="000A4BDC" w:rsidRDefault="00997DA2" w:rsidP="00997DA2">
      <w:pPr>
        <w:jc w:val="both"/>
        <w:rPr>
          <w:rFonts w:cstheme="minorHAnsi"/>
          <w:sz w:val="24"/>
          <w:szCs w:val="24"/>
        </w:rPr>
      </w:pPr>
      <w:r w:rsidRPr="000A4BDC">
        <w:rPr>
          <w:rFonts w:cstheme="minorHAnsi"/>
          <w:sz w:val="24"/>
          <w:szCs w:val="24"/>
        </w:rPr>
        <w:t xml:space="preserve">Halgarten, J., Tabberer, R., and McCarthy, K., (April 2015), </w:t>
      </w:r>
      <w:r w:rsidRPr="000A4BDC">
        <w:rPr>
          <w:rFonts w:cstheme="minorHAnsi"/>
          <w:i/>
          <w:sz w:val="24"/>
          <w:szCs w:val="24"/>
        </w:rPr>
        <w:t>3</w:t>
      </w:r>
      <w:r w:rsidRPr="000A4BDC">
        <w:rPr>
          <w:rFonts w:cstheme="minorHAnsi"/>
          <w:i/>
          <w:sz w:val="24"/>
          <w:szCs w:val="24"/>
          <w:vertAlign w:val="superscript"/>
        </w:rPr>
        <w:t>rd</w:t>
      </w:r>
      <w:r w:rsidRPr="000A4BDC">
        <w:rPr>
          <w:rFonts w:cstheme="minorHAnsi"/>
          <w:i/>
          <w:sz w:val="24"/>
          <w:szCs w:val="24"/>
        </w:rPr>
        <w:t xml:space="preserve"> Culture Schools: International Schools as Creative Catalysts for a New Global Education System</w:t>
      </w:r>
      <w:r w:rsidRPr="000A4BDC">
        <w:rPr>
          <w:rFonts w:cstheme="minorHAnsi"/>
          <w:sz w:val="24"/>
          <w:szCs w:val="24"/>
        </w:rPr>
        <w:t>, London: RSA and ECIS.</w:t>
      </w:r>
    </w:p>
    <w:p w14:paraId="7EBE2BFB" w14:textId="77777777" w:rsidR="00997DA2" w:rsidRPr="000A4BDC" w:rsidRDefault="00997DA2" w:rsidP="00997DA2">
      <w:pPr>
        <w:jc w:val="both"/>
        <w:rPr>
          <w:rFonts w:cstheme="minorHAnsi"/>
          <w:sz w:val="24"/>
          <w:szCs w:val="24"/>
        </w:rPr>
      </w:pPr>
      <w:r w:rsidRPr="000A4BDC">
        <w:rPr>
          <w:rFonts w:cstheme="minorHAnsi"/>
          <w:sz w:val="24"/>
          <w:szCs w:val="24"/>
        </w:rPr>
        <w:t xml:space="preserve">Halsey, A.H., Floud, J., Anderson, C.A., (1965), </w:t>
      </w:r>
      <w:r w:rsidRPr="000A4BDC">
        <w:rPr>
          <w:rFonts w:cstheme="minorHAnsi"/>
          <w:i/>
          <w:sz w:val="24"/>
          <w:szCs w:val="24"/>
        </w:rPr>
        <w:t xml:space="preserve">Education, Economy and Society: A Reader in the Sociology of Education, </w:t>
      </w:r>
      <w:r w:rsidRPr="000A4BDC">
        <w:rPr>
          <w:rFonts w:cstheme="minorHAnsi"/>
          <w:sz w:val="24"/>
          <w:szCs w:val="24"/>
        </w:rPr>
        <w:t>London: The Free Press.</w:t>
      </w:r>
    </w:p>
    <w:p w14:paraId="60AA48BF" w14:textId="77777777" w:rsidR="00997DA2" w:rsidRPr="000A4BDC" w:rsidRDefault="00997DA2" w:rsidP="00997DA2">
      <w:pPr>
        <w:jc w:val="both"/>
        <w:rPr>
          <w:rFonts w:cstheme="minorHAnsi"/>
          <w:sz w:val="24"/>
          <w:szCs w:val="24"/>
        </w:rPr>
      </w:pPr>
      <w:r w:rsidRPr="000A4BDC">
        <w:rPr>
          <w:rFonts w:cstheme="minorHAnsi"/>
          <w:sz w:val="24"/>
          <w:szCs w:val="24"/>
        </w:rPr>
        <w:t xml:space="preserve">Hatcher, R., (1998), Class Differentiation in Education: Rational Choices? </w:t>
      </w:r>
      <w:r w:rsidRPr="000A4BDC">
        <w:rPr>
          <w:rFonts w:cstheme="minorHAnsi"/>
          <w:i/>
          <w:sz w:val="24"/>
          <w:szCs w:val="24"/>
        </w:rPr>
        <w:t xml:space="preserve">British Journal of Sociology of Education, </w:t>
      </w:r>
      <w:r w:rsidRPr="000A4BDC">
        <w:rPr>
          <w:rFonts w:cstheme="minorHAnsi"/>
          <w:sz w:val="24"/>
          <w:szCs w:val="24"/>
        </w:rPr>
        <w:t>19:1, 5-24.</w:t>
      </w:r>
    </w:p>
    <w:p w14:paraId="7FB5BE4B" w14:textId="7C3F2E16" w:rsidR="00BE014A" w:rsidRPr="000A4BDC" w:rsidRDefault="00BE014A" w:rsidP="00997DA2">
      <w:pPr>
        <w:jc w:val="both"/>
        <w:rPr>
          <w:rFonts w:cstheme="minorHAnsi"/>
          <w:sz w:val="24"/>
          <w:szCs w:val="24"/>
        </w:rPr>
      </w:pPr>
      <w:r w:rsidRPr="000A4BDC">
        <w:rPr>
          <w:rFonts w:cstheme="minorHAnsi"/>
          <w:sz w:val="24"/>
          <w:szCs w:val="24"/>
        </w:rPr>
        <w:t xml:space="preserve">Head Masters’ Conference (HMC), ‘Leading Independent Schools’, ‘Top Ten Facts About HMC’ section, Website: </w:t>
      </w:r>
      <w:hyperlink r:id="rId11" w:history="1">
        <w:r w:rsidR="006C59A7" w:rsidRPr="00D026CA">
          <w:rPr>
            <w:rStyle w:val="Hyperlink"/>
            <w:rFonts w:cstheme="minorHAnsi"/>
            <w:sz w:val="24"/>
            <w:szCs w:val="24"/>
          </w:rPr>
          <w:t>www.hmc.org.uk</w:t>
        </w:r>
      </w:hyperlink>
      <w:hyperlink r:id="rId12" w:history="1">
        <w:r w:rsidRPr="00D026CA">
          <w:rPr>
            <w:rStyle w:val="Hyperlink"/>
            <w:rFonts w:cstheme="minorHAnsi"/>
            <w:sz w:val="24"/>
            <w:szCs w:val="24"/>
          </w:rPr>
          <w:t>www.hmc.org.uk</w:t>
        </w:r>
      </w:hyperlink>
      <w:r w:rsidRPr="000A4BDC">
        <w:rPr>
          <w:rFonts w:cstheme="minorHAnsi"/>
          <w:sz w:val="24"/>
          <w:szCs w:val="24"/>
        </w:rPr>
        <w:t xml:space="preserve"> [accessed 7</w:t>
      </w:r>
      <w:r w:rsidRPr="000A4BDC">
        <w:rPr>
          <w:rFonts w:cstheme="minorHAnsi"/>
          <w:sz w:val="24"/>
          <w:szCs w:val="24"/>
          <w:vertAlign w:val="superscript"/>
        </w:rPr>
        <w:t xml:space="preserve"> </w:t>
      </w:r>
      <w:r w:rsidRPr="000A4BDC">
        <w:rPr>
          <w:rFonts w:cstheme="minorHAnsi"/>
          <w:sz w:val="24"/>
          <w:szCs w:val="24"/>
        </w:rPr>
        <w:t>January, 2016].</w:t>
      </w:r>
    </w:p>
    <w:p w14:paraId="7A524D8F" w14:textId="1ED7FBE7" w:rsidR="00060A12" w:rsidRPr="000A4BDC" w:rsidRDefault="00060A12" w:rsidP="00997DA2">
      <w:pPr>
        <w:jc w:val="both"/>
        <w:rPr>
          <w:rFonts w:cstheme="minorHAnsi"/>
          <w:sz w:val="24"/>
          <w:szCs w:val="24"/>
        </w:rPr>
      </w:pPr>
      <w:r w:rsidRPr="000A4BDC">
        <w:rPr>
          <w:rFonts w:cstheme="minorHAnsi"/>
          <w:sz w:val="24"/>
          <w:szCs w:val="24"/>
        </w:rPr>
        <w:t xml:space="preserve">Impington Village College </w:t>
      </w:r>
      <w:r w:rsidR="00AC48EC">
        <w:rPr>
          <w:rFonts w:cstheme="minorHAnsi"/>
          <w:sz w:val="24"/>
          <w:szCs w:val="24"/>
        </w:rPr>
        <w:t xml:space="preserve">(2017), </w:t>
      </w:r>
      <w:hyperlink r:id="rId13" w:history="1">
        <w:r w:rsidR="00AC48EC" w:rsidRPr="005E002D">
          <w:rPr>
            <w:rStyle w:val="Hyperlink"/>
            <w:rFonts w:cstheme="minorHAnsi"/>
            <w:sz w:val="24"/>
            <w:szCs w:val="24"/>
          </w:rPr>
          <w:t>http://www.impington.cambs.sch.uk/</w:t>
        </w:r>
      </w:hyperlink>
      <w:r w:rsidR="00AC48EC">
        <w:rPr>
          <w:rFonts w:cstheme="minorHAnsi"/>
          <w:sz w:val="24"/>
          <w:szCs w:val="24"/>
        </w:rPr>
        <w:t xml:space="preserve"> [accessed 12 February 2017].</w:t>
      </w:r>
    </w:p>
    <w:p w14:paraId="552C0039" w14:textId="77777777" w:rsidR="00997DA2" w:rsidRPr="000A4BDC" w:rsidRDefault="00997DA2" w:rsidP="00997DA2">
      <w:pPr>
        <w:jc w:val="both"/>
        <w:rPr>
          <w:rFonts w:cstheme="minorHAnsi"/>
          <w:sz w:val="24"/>
          <w:szCs w:val="24"/>
        </w:rPr>
      </w:pPr>
      <w:r w:rsidRPr="000A4BDC">
        <w:rPr>
          <w:rFonts w:cstheme="minorHAnsi"/>
          <w:sz w:val="24"/>
          <w:szCs w:val="24"/>
        </w:rPr>
        <w:t xml:space="preserve">International Baccalaurate Organization, (2016), </w:t>
      </w:r>
      <w:r w:rsidRPr="000A4BDC">
        <w:rPr>
          <w:rFonts w:cstheme="minorHAnsi"/>
          <w:color w:val="000000"/>
          <w:sz w:val="24"/>
          <w:szCs w:val="24"/>
          <w:shd w:val="clear" w:color="auto" w:fill="FFFFFF"/>
        </w:rPr>
        <w:t> </w:t>
      </w:r>
      <w:hyperlink r:id="rId14" w:tgtFrame="_blank" w:history="1">
        <w:r w:rsidRPr="000A4BDC">
          <w:rPr>
            <w:rFonts w:cstheme="minorHAnsi"/>
            <w:color w:val="0000FF"/>
            <w:sz w:val="24"/>
            <w:szCs w:val="24"/>
            <w:u w:val="single"/>
            <w:shd w:val="clear" w:color="auto" w:fill="FFFFFF"/>
          </w:rPr>
          <w:t>www.IBO.org.uk</w:t>
        </w:r>
      </w:hyperlink>
      <w:r w:rsidRPr="000A4BDC">
        <w:rPr>
          <w:rFonts w:cstheme="minorHAnsi"/>
          <w:color w:val="000000"/>
          <w:sz w:val="24"/>
          <w:szCs w:val="24"/>
          <w:shd w:val="clear" w:color="auto" w:fill="FFFFFF"/>
        </w:rPr>
        <w:t>, website main pages, [accessed 1/2/16, 3/3/16, 4/5/16, and 15/6/16].</w:t>
      </w:r>
    </w:p>
    <w:p w14:paraId="141163E0" w14:textId="77777777" w:rsidR="00997DA2" w:rsidRPr="000A4BDC" w:rsidRDefault="00997DA2" w:rsidP="00997DA2">
      <w:pPr>
        <w:jc w:val="both"/>
        <w:rPr>
          <w:rFonts w:cstheme="minorHAnsi"/>
          <w:sz w:val="24"/>
          <w:szCs w:val="24"/>
        </w:rPr>
      </w:pPr>
      <w:r w:rsidRPr="000A4BDC">
        <w:rPr>
          <w:rFonts w:cstheme="minorHAnsi"/>
          <w:sz w:val="24"/>
          <w:szCs w:val="24"/>
        </w:rPr>
        <w:t xml:space="preserve">Joseph Rowntree Foundation, (2010), </w:t>
      </w:r>
      <w:r w:rsidRPr="000A4BDC">
        <w:rPr>
          <w:rFonts w:cstheme="minorHAnsi"/>
          <w:i/>
          <w:sz w:val="24"/>
          <w:szCs w:val="24"/>
        </w:rPr>
        <w:t xml:space="preserve">Poorer Children’s Educational Attainment: How Important are Attitudes and Behaviour? </w:t>
      </w:r>
      <w:r w:rsidRPr="000A4BDC">
        <w:rPr>
          <w:rFonts w:cstheme="minorHAnsi"/>
          <w:sz w:val="24"/>
          <w:szCs w:val="24"/>
        </w:rPr>
        <w:t xml:space="preserve">[pdf] York: Joseph Rowntree Foundation. Available at: </w:t>
      </w:r>
      <w:hyperlink r:id="rId15" w:history="1">
        <w:r w:rsidRPr="000A4BDC">
          <w:rPr>
            <w:rStyle w:val="Hyperlink"/>
            <w:rFonts w:cstheme="minorHAnsi"/>
            <w:sz w:val="24"/>
            <w:szCs w:val="24"/>
          </w:rPr>
          <w:t>http://www.jrf.org.uk/system/files/poorer-children-education-full.pdf</w:t>
        </w:r>
      </w:hyperlink>
      <w:r w:rsidRPr="000A4BDC">
        <w:rPr>
          <w:rFonts w:cstheme="minorHAnsi"/>
          <w:sz w:val="24"/>
          <w:szCs w:val="24"/>
        </w:rPr>
        <w:t xml:space="preserve"> [accessed on 30 July 2014].</w:t>
      </w:r>
    </w:p>
    <w:p w14:paraId="7A3141B1" w14:textId="77777777" w:rsidR="00997DA2" w:rsidRPr="000A4BDC" w:rsidRDefault="00997DA2" w:rsidP="00997DA2">
      <w:pPr>
        <w:jc w:val="both"/>
        <w:rPr>
          <w:rFonts w:cstheme="minorHAnsi"/>
          <w:sz w:val="24"/>
          <w:szCs w:val="24"/>
        </w:rPr>
      </w:pPr>
      <w:r w:rsidRPr="000A4BDC">
        <w:rPr>
          <w:rFonts w:cstheme="minorHAnsi"/>
          <w:sz w:val="24"/>
          <w:szCs w:val="24"/>
        </w:rPr>
        <w:t xml:space="preserve">Khan, S., R., (2011), </w:t>
      </w:r>
      <w:r w:rsidRPr="000A4BDC">
        <w:rPr>
          <w:rFonts w:cstheme="minorHAnsi"/>
          <w:i/>
          <w:sz w:val="24"/>
          <w:szCs w:val="24"/>
        </w:rPr>
        <w:t>Privilege. The Making of an Adolescent Elite at St. Paul’s School</w:t>
      </w:r>
      <w:r w:rsidRPr="000A4BDC">
        <w:rPr>
          <w:rFonts w:cstheme="minorHAnsi"/>
          <w:sz w:val="24"/>
          <w:szCs w:val="24"/>
        </w:rPr>
        <w:t>, Princeton &amp; Oxford: Princeton University Press.</w:t>
      </w:r>
    </w:p>
    <w:p w14:paraId="4EB221C7" w14:textId="77777777" w:rsidR="00997DA2" w:rsidRPr="000A4BDC" w:rsidRDefault="00997DA2" w:rsidP="00997DA2">
      <w:pPr>
        <w:pStyle w:val="BodyTextIndent2"/>
        <w:ind w:left="0" w:firstLine="0"/>
        <w:jc w:val="both"/>
        <w:rPr>
          <w:rFonts w:asciiTheme="minorHAnsi" w:hAnsiTheme="minorHAnsi" w:cstheme="minorHAnsi"/>
          <w:i/>
          <w:sz w:val="24"/>
          <w:szCs w:val="24"/>
          <w:lang w:val="en-GB"/>
        </w:rPr>
      </w:pPr>
      <w:r w:rsidRPr="000A4BDC">
        <w:rPr>
          <w:rFonts w:asciiTheme="minorHAnsi" w:hAnsiTheme="minorHAnsi" w:cstheme="minorHAnsi"/>
          <w:sz w:val="24"/>
          <w:szCs w:val="24"/>
          <w:lang w:val="en-GB"/>
        </w:rPr>
        <w:t xml:space="preserve">Marshak, D., (2003), No Child Left behind: A Foolish Race into the Past, </w:t>
      </w:r>
      <w:r w:rsidRPr="000A4BDC">
        <w:rPr>
          <w:rFonts w:asciiTheme="minorHAnsi" w:hAnsiTheme="minorHAnsi" w:cstheme="minorHAnsi"/>
          <w:i/>
          <w:sz w:val="24"/>
          <w:szCs w:val="24"/>
          <w:lang w:val="en-GB"/>
        </w:rPr>
        <w:t>The Phi Delta Kappan,</w:t>
      </w:r>
      <w:r w:rsidRPr="000A4BDC">
        <w:rPr>
          <w:rFonts w:asciiTheme="minorHAnsi" w:hAnsiTheme="minorHAnsi" w:cstheme="minorHAnsi"/>
          <w:sz w:val="24"/>
          <w:szCs w:val="24"/>
          <w:lang w:val="en-GB"/>
        </w:rPr>
        <w:t xml:space="preserve"> 85:3, 229-231.</w:t>
      </w:r>
      <w:r w:rsidRPr="000A4BDC">
        <w:rPr>
          <w:rFonts w:asciiTheme="minorHAnsi" w:hAnsiTheme="minorHAnsi" w:cstheme="minorHAnsi"/>
          <w:i/>
          <w:sz w:val="24"/>
          <w:szCs w:val="24"/>
          <w:lang w:val="en-GB"/>
        </w:rPr>
        <w:t xml:space="preserve"> </w:t>
      </w:r>
    </w:p>
    <w:p w14:paraId="74FCF74F" w14:textId="2FC193F2" w:rsidR="00872EE7" w:rsidRPr="00D026CA" w:rsidRDefault="00872EE7" w:rsidP="00997DA2">
      <w:pPr>
        <w:pStyle w:val="BodyTextIndent2"/>
        <w:ind w:left="0" w:firstLine="0"/>
        <w:jc w:val="both"/>
        <w:rPr>
          <w:rFonts w:asciiTheme="minorHAnsi" w:hAnsiTheme="minorHAnsi" w:cstheme="minorHAnsi"/>
          <w:sz w:val="24"/>
          <w:szCs w:val="24"/>
          <w:lang w:val="en-GB"/>
        </w:rPr>
      </w:pPr>
    </w:p>
    <w:p w14:paraId="3DD426AD" w14:textId="268C6E4E" w:rsidR="00997DA2" w:rsidRDefault="00997DA2" w:rsidP="00997DA2">
      <w:pPr>
        <w:jc w:val="both"/>
        <w:rPr>
          <w:rFonts w:cstheme="minorHAnsi"/>
          <w:sz w:val="24"/>
          <w:szCs w:val="24"/>
        </w:rPr>
      </w:pPr>
      <w:r w:rsidRPr="000A4BDC">
        <w:rPr>
          <w:rFonts w:cstheme="minorHAnsi"/>
          <w:sz w:val="24"/>
          <w:szCs w:val="24"/>
        </w:rPr>
        <w:t xml:space="preserve">Mayring, P., (2000), Qualitative Content Analysis, </w:t>
      </w:r>
      <w:r w:rsidRPr="000A4BDC">
        <w:rPr>
          <w:rFonts w:cstheme="minorHAnsi"/>
          <w:i/>
          <w:sz w:val="24"/>
          <w:szCs w:val="24"/>
        </w:rPr>
        <w:t>Forum: Qualitative Social Research</w:t>
      </w:r>
      <w:r w:rsidRPr="000A4BDC">
        <w:rPr>
          <w:rFonts w:cstheme="minorHAnsi"/>
          <w:sz w:val="24"/>
          <w:szCs w:val="24"/>
        </w:rPr>
        <w:t>, 2:1.</w:t>
      </w:r>
    </w:p>
    <w:p w14:paraId="74706366" w14:textId="60DA1761" w:rsidR="00872EE7" w:rsidRPr="000A4BDC" w:rsidRDefault="00872EE7" w:rsidP="00997DA2">
      <w:pPr>
        <w:jc w:val="both"/>
        <w:rPr>
          <w:sz w:val="24"/>
          <w:szCs w:val="24"/>
        </w:rPr>
      </w:pPr>
      <w:r w:rsidRPr="001C6DA5">
        <w:rPr>
          <w:sz w:val="24"/>
          <w:szCs w:val="24"/>
        </w:rPr>
        <w:t>Mayring</w:t>
      </w:r>
      <w:r>
        <w:rPr>
          <w:sz w:val="24"/>
          <w:szCs w:val="24"/>
        </w:rPr>
        <w:t xml:space="preserve">, P., </w:t>
      </w:r>
      <w:r w:rsidRPr="001C6DA5">
        <w:rPr>
          <w:sz w:val="24"/>
          <w:szCs w:val="24"/>
        </w:rPr>
        <w:t>Glaser-Ziduka</w:t>
      </w:r>
      <w:r>
        <w:rPr>
          <w:sz w:val="24"/>
          <w:szCs w:val="24"/>
        </w:rPr>
        <w:t>, M.,</w:t>
      </w:r>
      <w:r w:rsidRPr="001C6DA5">
        <w:rPr>
          <w:sz w:val="24"/>
          <w:szCs w:val="24"/>
        </w:rPr>
        <w:t xml:space="preserve"> (2003)</w:t>
      </w:r>
      <w:r>
        <w:rPr>
          <w:sz w:val="24"/>
          <w:szCs w:val="24"/>
        </w:rPr>
        <w:t>, ‘</w:t>
      </w:r>
      <w:r w:rsidRPr="001C6DA5">
        <w:rPr>
          <w:sz w:val="24"/>
          <w:szCs w:val="24"/>
        </w:rPr>
        <w:t>A Qualitative oriented approach</w:t>
      </w:r>
      <w:r>
        <w:rPr>
          <w:sz w:val="24"/>
          <w:szCs w:val="24"/>
        </w:rPr>
        <w:t xml:space="preserve"> to learning emotions at school’</w:t>
      </w:r>
      <w:r w:rsidRPr="001C6DA5">
        <w:rPr>
          <w:sz w:val="24"/>
          <w:szCs w:val="24"/>
        </w:rPr>
        <w:t xml:space="preserve"> in Mayring</w:t>
      </w:r>
      <w:r>
        <w:rPr>
          <w:sz w:val="24"/>
          <w:szCs w:val="24"/>
        </w:rPr>
        <w:t>, P.</w:t>
      </w:r>
      <w:r w:rsidRPr="001C6DA5">
        <w:rPr>
          <w:sz w:val="24"/>
          <w:szCs w:val="24"/>
        </w:rPr>
        <w:t xml:space="preserve"> and </w:t>
      </w:r>
      <w:r>
        <w:rPr>
          <w:sz w:val="24"/>
          <w:szCs w:val="24"/>
        </w:rPr>
        <w:t xml:space="preserve">von </w:t>
      </w:r>
      <w:r w:rsidRPr="001C6DA5">
        <w:rPr>
          <w:sz w:val="24"/>
          <w:szCs w:val="24"/>
        </w:rPr>
        <w:t>Rho</w:t>
      </w:r>
      <w:r>
        <w:rPr>
          <w:sz w:val="24"/>
          <w:szCs w:val="24"/>
        </w:rPr>
        <w:t>e</w:t>
      </w:r>
      <w:r w:rsidRPr="001C6DA5">
        <w:rPr>
          <w:sz w:val="24"/>
          <w:szCs w:val="24"/>
        </w:rPr>
        <w:t>neck</w:t>
      </w:r>
      <w:r>
        <w:rPr>
          <w:sz w:val="24"/>
          <w:szCs w:val="24"/>
        </w:rPr>
        <w:t>, C.,</w:t>
      </w:r>
      <w:r w:rsidRPr="001C6DA5">
        <w:rPr>
          <w:sz w:val="24"/>
          <w:szCs w:val="24"/>
        </w:rPr>
        <w:t xml:space="preserve"> (eds)</w:t>
      </w:r>
      <w:r>
        <w:rPr>
          <w:sz w:val="24"/>
          <w:szCs w:val="24"/>
        </w:rPr>
        <w:t xml:space="preserve">, </w:t>
      </w:r>
      <w:r w:rsidRPr="001C6DA5">
        <w:rPr>
          <w:i/>
          <w:sz w:val="24"/>
          <w:szCs w:val="24"/>
        </w:rPr>
        <w:t>Learning Emotions</w:t>
      </w:r>
      <w:r>
        <w:rPr>
          <w:sz w:val="24"/>
          <w:szCs w:val="24"/>
        </w:rPr>
        <w:t>,</w:t>
      </w:r>
      <w:r w:rsidRPr="001C6DA5">
        <w:rPr>
          <w:sz w:val="24"/>
          <w:szCs w:val="24"/>
        </w:rPr>
        <w:t xml:space="preserve"> (2003)</w:t>
      </w:r>
      <w:r>
        <w:rPr>
          <w:sz w:val="24"/>
          <w:szCs w:val="24"/>
        </w:rPr>
        <w:t>,</w:t>
      </w:r>
      <w:r w:rsidRPr="001C6DA5">
        <w:rPr>
          <w:sz w:val="24"/>
          <w:szCs w:val="24"/>
        </w:rPr>
        <w:t xml:space="preserve"> New York: Lang.</w:t>
      </w:r>
    </w:p>
    <w:p w14:paraId="0EDC8076" w14:textId="77777777" w:rsidR="00997DA2" w:rsidRPr="000A4BDC" w:rsidRDefault="00997DA2" w:rsidP="00997DA2">
      <w:pPr>
        <w:jc w:val="both"/>
        <w:rPr>
          <w:rFonts w:cstheme="minorHAnsi"/>
          <w:sz w:val="24"/>
          <w:szCs w:val="24"/>
        </w:rPr>
      </w:pPr>
      <w:r w:rsidRPr="000A4BDC">
        <w:rPr>
          <w:rFonts w:cstheme="minorHAnsi"/>
          <w:sz w:val="24"/>
          <w:szCs w:val="24"/>
        </w:rPr>
        <w:lastRenderedPageBreak/>
        <w:t xml:space="preserve">Mayring, P., (2007), On Generalisation in Qualitatively Oriented Research, </w:t>
      </w:r>
      <w:r w:rsidRPr="000A4BDC">
        <w:rPr>
          <w:rFonts w:cstheme="minorHAnsi"/>
          <w:i/>
          <w:sz w:val="24"/>
          <w:szCs w:val="24"/>
        </w:rPr>
        <w:t>Forum: Qualitative Social Research</w:t>
      </w:r>
      <w:r w:rsidRPr="000A4BDC">
        <w:rPr>
          <w:rFonts w:cstheme="minorHAnsi"/>
          <w:sz w:val="24"/>
          <w:szCs w:val="24"/>
        </w:rPr>
        <w:t>, Vol.8:3.</w:t>
      </w:r>
    </w:p>
    <w:p w14:paraId="3C38D887" w14:textId="77777777" w:rsidR="00997DA2" w:rsidRPr="000A4BDC" w:rsidRDefault="00997DA2" w:rsidP="00997DA2">
      <w:pPr>
        <w:rPr>
          <w:rFonts w:cstheme="minorHAnsi"/>
          <w:sz w:val="24"/>
          <w:szCs w:val="24"/>
        </w:rPr>
      </w:pPr>
      <w:r w:rsidRPr="000A4BDC">
        <w:rPr>
          <w:rFonts w:cstheme="minorHAnsi"/>
          <w:sz w:val="24"/>
          <w:szCs w:val="24"/>
        </w:rPr>
        <w:t xml:space="preserve">Milburn, A., (2009), Unleashing Aspiration: the Final Report of the Panel on Fair Access to the Professions. Available at: </w:t>
      </w:r>
      <w:hyperlink r:id="rId16" w:tgtFrame="_blank" w:history="1">
        <w:r w:rsidRPr="000A4BDC">
          <w:rPr>
            <w:rFonts w:cstheme="minorHAnsi"/>
            <w:color w:val="0000FF"/>
            <w:sz w:val="24"/>
            <w:szCs w:val="24"/>
            <w:u w:val="single"/>
            <w:shd w:val="clear" w:color="auto" w:fill="FFFFFF"/>
          </w:rPr>
          <w:t>http://webarchive.nationalarchives.gov.uk/+/http:/www.cabinetoffice.gov.uk/media/227102/fair-access.pdf</w:t>
        </w:r>
      </w:hyperlink>
      <w:r w:rsidRPr="000A4BDC">
        <w:rPr>
          <w:rFonts w:cstheme="minorHAnsi"/>
          <w:sz w:val="24"/>
          <w:szCs w:val="24"/>
        </w:rPr>
        <w:t xml:space="preserve"> [accessed June 15 2016].</w:t>
      </w:r>
    </w:p>
    <w:p w14:paraId="6BD78C94" w14:textId="77777777" w:rsidR="00997DA2" w:rsidRPr="000A4BDC" w:rsidRDefault="00997DA2" w:rsidP="00997DA2">
      <w:pPr>
        <w:rPr>
          <w:rFonts w:cstheme="minorHAnsi"/>
          <w:sz w:val="24"/>
          <w:szCs w:val="24"/>
        </w:rPr>
      </w:pPr>
      <w:r w:rsidRPr="000A4BDC">
        <w:rPr>
          <w:rFonts w:cstheme="minorHAnsi"/>
          <w:sz w:val="24"/>
          <w:szCs w:val="24"/>
        </w:rPr>
        <w:t xml:space="preserve">Milburn, A., (2012), University Challenge: how Higher Education can Advance Social Mobility. Available at: </w:t>
      </w:r>
      <w:hyperlink r:id="rId17" w:history="1">
        <w:r w:rsidRPr="000A4BDC">
          <w:rPr>
            <w:rStyle w:val="Hyperlink"/>
            <w:rFonts w:cstheme="minorHAnsi"/>
            <w:sz w:val="24"/>
            <w:szCs w:val="24"/>
          </w:rPr>
          <w:t>https://www.gov.uk/government/uploads/system/uploads/attachment_data/file/80188/Higher-Education.pdf</w:t>
        </w:r>
      </w:hyperlink>
      <w:r w:rsidRPr="000A4BDC">
        <w:rPr>
          <w:rFonts w:cstheme="minorHAnsi"/>
          <w:sz w:val="24"/>
          <w:szCs w:val="24"/>
        </w:rPr>
        <w:t xml:space="preserve"> [accessed June 15 2016].</w:t>
      </w:r>
    </w:p>
    <w:p w14:paraId="47390C4A" w14:textId="77777777" w:rsidR="00DB3D3D" w:rsidRPr="000A4BDC" w:rsidRDefault="00DB3D3D" w:rsidP="00997DA2">
      <w:pPr>
        <w:rPr>
          <w:rFonts w:cstheme="minorHAnsi"/>
          <w:sz w:val="24"/>
          <w:szCs w:val="24"/>
        </w:rPr>
      </w:pPr>
      <w:r w:rsidRPr="000A4BDC">
        <w:rPr>
          <w:rFonts w:cstheme="minorHAnsi"/>
          <w:sz w:val="24"/>
          <w:szCs w:val="24"/>
        </w:rPr>
        <w:t xml:space="preserve">Milburn, A. (2015). State of the nation 2015: social mobility and child poverty in Great Britain. Available at: </w:t>
      </w:r>
      <w:hyperlink r:id="rId18" w:history="1">
        <w:r w:rsidRPr="000A4BDC">
          <w:rPr>
            <w:rStyle w:val="Hyperlink"/>
            <w:rFonts w:cstheme="minorHAnsi"/>
            <w:sz w:val="24"/>
            <w:szCs w:val="24"/>
          </w:rPr>
          <w:t>https://www.gov.uk/government/uploads/system/uploads/attachment_data/file/485926/State_of_the_nation_2015__social_mobility_and_child_poverty_in_Great_Britain.pdf</w:t>
        </w:r>
      </w:hyperlink>
      <w:r w:rsidRPr="000A4BDC">
        <w:rPr>
          <w:rFonts w:cstheme="minorHAnsi"/>
          <w:sz w:val="24"/>
          <w:szCs w:val="24"/>
        </w:rPr>
        <w:t xml:space="preserve"> [Accessed January 15 2017).</w:t>
      </w:r>
    </w:p>
    <w:p w14:paraId="72995CE7" w14:textId="77777777" w:rsidR="007F1FA7" w:rsidRPr="000A4BDC" w:rsidRDefault="007F1FA7" w:rsidP="00997DA2">
      <w:pPr>
        <w:rPr>
          <w:rFonts w:cstheme="minorHAnsi"/>
          <w:sz w:val="24"/>
          <w:szCs w:val="24"/>
        </w:rPr>
      </w:pPr>
      <w:r w:rsidRPr="000A4BDC">
        <w:rPr>
          <w:rFonts w:cstheme="minorHAnsi"/>
          <w:sz w:val="24"/>
          <w:szCs w:val="24"/>
        </w:rPr>
        <w:t xml:space="preserve">Milburn, A. (2016). The social mobility index. Available at: </w:t>
      </w:r>
      <w:hyperlink r:id="rId19" w:history="1">
        <w:r w:rsidRPr="000A4BDC">
          <w:rPr>
            <w:rStyle w:val="Hyperlink"/>
            <w:rFonts w:cstheme="minorHAnsi"/>
            <w:sz w:val="24"/>
            <w:szCs w:val="24"/>
          </w:rPr>
          <w:t>https://www.gov.uk/government/uploads/system/uploads/attachment_data/file/496103/Social_Mobility_Index.pdf</w:t>
        </w:r>
      </w:hyperlink>
      <w:r w:rsidRPr="000A4BDC">
        <w:rPr>
          <w:rFonts w:cstheme="minorHAnsi"/>
          <w:sz w:val="24"/>
          <w:szCs w:val="24"/>
        </w:rPr>
        <w:t xml:space="preserve"> [Accessed January 14th 2017].</w:t>
      </w:r>
    </w:p>
    <w:p w14:paraId="008E0AF3" w14:textId="77777777" w:rsidR="00603820" w:rsidRPr="00D026CA" w:rsidRDefault="00603820" w:rsidP="000A5638">
      <w:pPr>
        <w:pStyle w:val="NormalWeb"/>
        <w:shd w:val="clear" w:color="auto" w:fill="FFFFFF"/>
        <w:spacing w:before="150" w:beforeAutospacing="0" w:after="150" w:afterAutospacing="0"/>
        <w:jc w:val="both"/>
        <w:rPr>
          <w:rFonts w:asciiTheme="minorHAnsi" w:hAnsiTheme="minorHAnsi" w:cstheme="minorHAnsi"/>
        </w:rPr>
      </w:pPr>
      <w:r w:rsidRPr="00D026CA">
        <w:rPr>
          <w:rFonts w:asciiTheme="minorHAnsi" w:hAnsiTheme="minorHAnsi" w:cstheme="minorHAnsi"/>
        </w:rPr>
        <w:t xml:space="preserve">Miles, M.B., Huberman, A.M, Saldana, J., (2014) </w:t>
      </w:r>
      <w:r w:rsidRPr="00D026CA">
        <w:rPr>
          <w:rFonts w:asciiTheme="minorHAnsi" w:hAnsiTheme="minorHAnsi" w:cstheme="minorHAnsi"/>
          <w:i/>
          <w:iCs/>
        </w:rPr>
        <w:t>Qualitative Data Analysis: A Methods Sourcebook</w:t>
      </w:r>
      <w:r w:rsidRPr="00D026CA">
        <w:rPr>
          <w:rFonts w:asciiTheme="minorHAnsi" w:hAnsiTheme="minorHAnsi" w:cstheme="minorHAnsi"/>
        </w:rPr>
        <w:t>, Third Edition, London: Sage.</w:t>
      </w:r>
    </w:p>
    <w:p w14:paraId="6446B7A9" w14:textId="77777777" w:rsidR="00997DA2" w:rsidRPr="000A4BDC" w:rsidRDefault="00997DA2" w:rsidP="00997DA2">
      <w:pPr>
        <w:jc w:val="both"/>
        <w:rPr>
          <w:rFonts w:cstheme="minorHAnsi"/>
          <w:sz w:val="24"/>
          <w:szCs w:val="24"/>
        </w:rPr>
      </w:pPr>
      <w:r w:rsidRPr="000A4BDC">
        <w:rPr>
          <w:rFonts w:cstheme="minorHAnsi"/>
          <w:color w:val="000000"/>
          <w:sz w:val="24"/>
          <w:szCs w:val="24"/>
          <w:shd w:val="clear" w:color="auto" w:fill="FFFFFF"/>
        </w:rPr>
        <w:t>Milner, J., (2015), ‘Majority of UK’s most influential had independent school education – survey’ (reporting the Debrett’s ‘500 List’), Haroon Siddique, Sunday 25</w:t>
      </w:r>
      <w:r w:rsidRPr="000A4BDC">
        <w:rPr>
          <w:rFonts w:cstheme="minorHAnsi"/>
          <w:color w:val="000000"/>
          <w:sz w:val="24"/>
          <w:szCs w:val="24"/>
          <w:shd w:val="clear" w:color="auto" w:fill="FFFFFF"/>
          <w:vertAlign w:val="superscript"/>
        </w:rPr>
        <w:t>th</w:t>
      </w:r>
      <w:r w:rsidRPr="000A4BDC">
        <w:rPr>
          <w:rFonts w:cstheme="minorHAnsi"/>
          <w:color w:val="000000"/>
          <w:sz w:val="24"/>
          <w:szCs w:val="24"/>
          <w:shd w:val="clear" w:color="auto" w:fill="FFFFFF"/>
        </w:rPr>
        <w:t> January, 2015, available at: </w:t>
      </w:r>
      <w:hyperlink r:id="rId20" w:tgtFrame="_blank" w:history="1">
        <w:r w:rsidRPr="000A4BDC">
          <w:rPr>
            <w:rFonts w:cstheme="minorHAnsi"/>
            <w:color w:val="0000FF"/>
            <w:sz w:val="24"/>
            <w:szCs w:val="24"/>
            <w:u w:val="single"/>
            <w:shd w:val="clear" w:color="auto" w:fill="FFFFFF"/>
          </w:rPr>
          <w:t>http://www.theguardian.com/education/2015/jan/25/majority-uk-most-influential-independent-school-survey-debretts-500</w:t>
        </w:r>
      </w:hyperlink>
      <w:r w:rsidRPr="000A4BDC">
        <w:rPr>
          <w:rFonts w:cstheme="minorHAnsi"/>
          <w:color w:val="000000"/>
          <w:sz w:val="24"/>
          <w:szCs w:val="24"/>
          <w:shd w:val="clear" w:color="auto" w:fill="FFFFFF"/>
        </w:rPr>
        <w:t> [accessed January 26 2015).</w:t>
      </w:r>
    </w:p>
    <w:p w14:paraId="0800AEC2" w14:textId="77777777" w:rsidR="00997DA2" w:rsidRPr="000A4BDC" w:rsidRDefault="00997DA2" w:rsidP="00997DA2">
      <w:pPr>
        <w:jc w:val="both"/>
        <w:rPr>
          <w:rFonts w:cstheme="minorHAnsi"/>
          <w:sz w:val="24"/>
          <w:szCs w:val="24"/>
        </w:rPr>
      </w:pPr>
      <w:r w:rsidRPr="000A4BDC">
        <w:rPr>
          <w:rFonts w:cstheme="minorHAnsi"/>
          <w:sz w:val="24"/>
          <w:szCs w:val="24"/>
        </w:rPr>
        <w:t xml:space="preserve">Parkin, F., (1971), </w:t>
      </w:r>
      <w:r w:rsidRPr="000A4BDC">
        <w:rPr>
          <w:rFonts w:cstheme="minorHAnsi"/>
          <w:i/>
          <w:sz w:val="24"/>
          <w:szCs w:val="24"/>
        </w:rPr>
        <w:t>Class Inequality and Political Order: Social Stratification in Capitalist and Communist Societies,</w:t>
      </w:r>
      <w:r w:rsidRPr="000A4BDC">
        <w:rPr>
          <w:rFonts w:cstheme="minorHAnsi"/>
          <w:sz w:val="24"/>
          <w:szCs w:val="24"/>
        </w:rPr>
        <w:t xml:space="preserve"> London: MacGibbon &amp; Kee.</w:t>
      </w:r>
    </w:p>
    <w:p w14:paraId="1D3CF7AF" w14:textId="77777777" w:rsidR="00997DA2" w:rsidRPr="000A4BDC" w:rsidRDefault="00997DA2" w:rsidP="00997DA2">
      <w:pPr>
        <w:jc w:val="both"/>
        <w:rPr>
          <w:rFonts w:cstheme="minorHAnsi"/>
          <w:sz w:val="24"/>
          <w:szCs w:val="24"/>
        </w:rPr>
      </w:pPr>
      <w:r w:rsidRPr="000A4BDC">
        <w:rPr>
          <w:rFonts w:cstheme="minorHAnsi"/>
          <w:sz w:val="24"/>
          <w:szCs w:val="24"/>
        </w:rPr>
        <w:t xml:space="preserve">Piketty, T., (2013), </w:t>
      </w:r>
      <w:r w:rsidRPr="000A4BDC">
        <w:rPr>
          <w:rFonts w:cstheme="minorHAnsi"/>
          <w:i/>
          <w:sz w:val="24"/>
          <w:szCs w:val="24"/>
        </w:rPr>
        <w:t>Capital in the Twenty-First Century</w:t>
      </w:r>
      <w:r w:rsidRPr="000A4BDC">
        <w:rPr>
          <w:rFonts w:cstheme="minorHAnsi"/>
          <w:sz w:val="24"/>
          <w:szCs w:val="24"/>
        </w:rPr>
        <w:t>, Harvard: Harvard’s College.</w:t>
      </w:r>
    </w:p>
    <w:p w14:paraId="46F6B8AF" w14:textId="220E44C1" w:rsidR="00997DA2" w:rsidRPr="000A4BDC" w:rsidRDefault="00997DA2" w:rsidP="00997DA2">
      <w:pPr>
        <w:rPr>
          <w:rFonts w:cstheme="minorHAnsi"/>
          <w:sz w:val="24"/>
          <w:szCs w:val="24"/>
        </w:rPr>
      </w:pPr>
      <w:r w:rsidRPr="000A4BDC">
        <w:rPr>
          <w:rFonts w:cstheme="minorHAnsi"/>
          <w:sz w:val="24"/>
          <w:szCs w:val="24"/>
        </w:rPr>
        <w:t xml:space="preserve">Resnik, J., (2009), Multicultural Education: Good for Business but not for the State? The IB Curriculum and Global Capitalism. </w:t>
      </w:r>
      <w:r w:rsidRPr="000A4BDC">
        <w:rPr>
          <w:rFonts w:cstheme="minorHAnsi"/>
          <w:i/>
          <w:sz w:val="24"/>
          <w:szCs w:val="24"/>
        </w:rPr>
        <w:t xml:space="preserve">British Journal of Educational Studies, </w:t>
      </w:r>
      <w:r w:rsidR="00A75B0C" w:rsidRPr="000A4BDC">
        <w:rPr>
          <w:rFonts w:cstheme="minorHAnsi"/>
          <w:sz w:val="24"/>
          <w:szCs w:val="24"/>
        </w:rPr>
        <w:t>57:3</w:t>
      </w:r>
      <w:r w:rsidRPr="000A4BDC">
        <w:rPr>
          <w:rFonts w:cstheme="minorHAnsi"/>
          <w:sz w:val="24"/>
          <w:szCs w:val="24"/>
        </w:rPr>
        <w:t>, 217-244.</w:t>
      </w:r>
    </w:p>
    <w:p w14:paraId="18705C33" w14:textId="112C2D3C" w:rsidR="00A37130" w:rsidRDefault="00A37130" w:rsidP="00D026CA">
      <w:pPr>
        <w:jc w:val="both"/>
        <w:rPr>
          <w:rFonts w:cstheme="minorHAnsi"/>
          <w:sz w:val="24"/>
          <w:szCs w:val="24"/>
        </w:rPr>
      </w:pPr>
      <w:r w:rsidRPr="000A4BDC">
        <w:rPr>
          <w:rFonts w:cstheme="minorHAnsi"/>
          <w:sz w:val="24"/>
          <w:szCs w:val="24"/>
        </w:rPr>
        <w:t xml:space="preserve">Savage, M., Cunningham, N., Devine, F., Friedman, S., Laurison, D., McKenzie, L., Miles, A., Snee, H., Wakeling, P.  (2015), </w:t>
      </w:r>
      <w:r w:rsidRPr="000A4BDC">
        <w:rPr>
          <w:rFonts w:cstheme="minorHAnsi"/>
          <w:i/>
          <w:sz w:val="24"/>
          <w:szCs w:val="24"/>
        </w:rPr>
        <w:t>Social Class in the 21</w:t>
      </w:r>
      <w:r w:rsidRPr="000A4BDC">
        <w:rPr>
          <w:rFonts w:cstheme="minorHAnsi"/>
          <w:i/>
          <w:sz w:val="24"/>
          <w:szCs w:val="24"/>
          <w:vertAlign w:val="superscript"/>
        </w:rPr>
        <w:t>st</w:t>
      </w:r>
      <w:r w:rsidRPr="000A4BDC">
        <w:rPr>
          <w:rFonts w:cstheme="minorHAnsi"/>
          <w:i/>
          <w:sz w:val="24"/>
          <w:szCs w:val="24"/>
        </w:rPr>
        <w:t xml:space="preserve"> Century</w:t>
      </w:r>
      <w:r w:rsidRPr="000A4BDC">
        <w:rPr>
          <w:rFonts w:cstheme="minorHAnsi"/>
          <w:sz w:val="24"/>
          <w:szCs w:val="24"/>
        </w:rPr>
        <w:t>, London: Random House.</w:t>
      </w:r>
    </w:p>
    <w:p w14:paraId="66D00DB8" w14:textId="58843236" w:rsidR="000D3E7C" w:rsidRPr="000A4BDC" w:rsidRDefault="000D3E7C" w:rsidP="00D026CA">
      <w:pPr>
        <w:pStyle w:val="BodyTextIndent2"/>
        <w:ind w:left="0" w:firstLine="0"/>
        <w:jc w:val="both"/>
        <w:rPr>
          <w:rFonts w:cstheme="minorHAnsi"/>
          <w:sz w:val="24"/>
          <w:szCs w:val="24"/>
        </w:rPr>
      </w:pPr>
      <w:r w:rsidRPr="00D026CA">
        <w:rPr>
          <w:rFonts w:asciiTheme="minorHAnsi" w:hAnsiTheme="minorHAnsi" w:cstheme="minorHAnsi"/>
          <w:sz w:val="24"/>
          <w:szCs w:val="24"/>
        </w:rPr>
        <w:t xml:space="preserve">Silverman, D., (2011), </w:t>
      </w:r>
      <w:r w:rsidRPr="00D026CA">
        <w:rPr>
          <w:rFonts w:asciiTheme="minorHAnsi" w:hAnsiTheme="minorHAnsi" w:cstheme="minorHAnsi"/>
          <w:i/>
          <w:sz w:val="24"/>
          <w:szCs w:val="24"/>
        </w:rPr>
        <w:t>Qualitative Research</w:t>
      </w:r>
      <w:r w:rsidRPr="00D026CA">
        <w:rPr>
          <w:rFonts w:asciiTheme="minorHAnsi" w:hAnsiTheme="minorHAnsi" w:cstheme="minorHAnsi"/>
          <w:sz w:val="24"/>
          <w:szCs w:val="24"/>
        </w:rPr>
        <w:t>, London: Sage.</w:t>
      </w:r>
    </w:p>
    <w:p w14:paraId="62872412" w14:textId="77777777" w:rsidR="000D3E7C" w:rsidRPr="000A4BDC" w:rsidRDefault="000D3E7C" w:rsidP="00D026CA">
      <w:pPr>
        <w:pStyle w:val="BodyTextIndent2"/>
        <w:ind w:left="0" w:firstLine="0"/>
        <w:jc w:val="both"/>
        <w:rPr>
          <w:sz w:val="24"/>
          <w:szCs w:val="24"/>
        </w:rPr>
      </w:pPr>
    </w:p>
    <w:p w14:paraId="6B52EBCE" w14:textId="77777777" w:rsidR="00997DA2" w:rsidRPr="000A4BDC" w:rsidRDefault="00997DA2" w:rsidP="00997DA2">
      <w:pPr>
        <w:jc w:val="both"/>
        <w:rPr>
          <w:rFonts w:cstheme="minorHAnsi"/>
          <w:sz w:val="24"/>
          <w:szCs w:val="24"/>
        </w:rPr>
      </w:pPr>
      <w:r w:rsidRPr="000A4BDC">
        <w:rPr>
          <w:rFonts w:cstheme="minorHAnsi"/>
          <w:sz w:val="24"/>
          <w:szCs w:val="24"/>
        </w:rPr>
        <w:t xml:space="preserve">Smith, E., White, P., (2015), What Makes a Successful Undergraduate? The Relationship Between Student Characteristics, Degree Subject and Academic Success at University, </w:t>
      </w:r>
      <w:r w:rsidRPr="000A4BDC">
        <w:rPr>
          <w:rFonts w:cstheme="minorHAnsi"/>
          <w:i/>
          <w:sz w:val="24"/>
          <w:szCs w:val="24"/>
        </w:rPr>
        <w:t xml:space="preserve">British Educational Research Journal, </w:t>
      </w:r>
      <w:r w:rsidRPr="000A4BDC">
        <w:rPr>
          <w:rFonts w:cstheme="minorHAnsi"/>
          <w:sz w:val="24"/>
          <w:szCs w:val="24"/>
        </w:rPr>
        <w:t>41:</w:t>
      </w:r>
      <w:r w:rsidR="00614C9F" w:rsidRPr="000A4BDC">
        <w:rPr>
          <w:rFonts w:cstheme="minorHAnsi"/>
          <w:sz w:val="24"/>
          <w:szCs w:val="24"/>
        </w:rPr>
        <w:t xml:space="preserve"> </w:t>
      </w:r>
      <w:r w:rsidRPr="000A4BDC">
        <w:rPr>
          <w:rFonts w:cstheme="minorHAnsi"/>
          <w:sz w:val="24"/>
          <w:szCs w:val="24"/>
        </w:rPr>
        <w:t>4, 686-708.</w:t>
      </w:r>
    </w:p>
    <w:p w14:paraId="672D38DE" w14:textId="77777777" w:rsidR="00997DA2" w:rsidRPr="000A4BDC" w:rsidRDefault="00997DA2" w:rsidP="00997DA2">
      <w:pPr>
        <w:jc w:val="both"/>
        <w:rPr>
          <w:rFonts w:cstheme="minorHAnsi"/>
          <w:sz w:val="24"/>
          <w:szCs w:val="24"/>
        </w:rPr>
      </w:pPr>
      <w:r w:rsidRPr="000A4BDC">
        <w:rPr>
          <w:rFonts w:cstheme="minorHAnsi"/>
          <w:sz w:val="24"/>
          <w:szCs w:val="24"/>
        </w:rPr>
        <w:t xml:space="preserve">Stewart, W., (2011), ‘State Schools Warn IB will be the Preserve of Independents’, </w:t>
      </w:r>
      <w:r w:rsidRPr="000A4BDC">
        <w:rPr>
          <w:rFonts w:cstheme="minorHAnsi"/>
          <w:i/>
          <w:sz w:val="24"/>
          <w:szCs w:val="24"/>
        </w:rPr>
        <w:t>Times Educational Supplement</w:t>
      </w:r>
      <w:r w:rsidRPr="000A4BDC">
        <w:rPr>
          <w:rFonts w:cstheme="minorHAnsi"/>
          <w:sz w:val="24"/>
          <w:szCs w:val="24"/>
        </w:rPr>
        <w:t xml:space="preserve">, London. </w:t>
      </w:r>
    </w:p>
    <w:p w14:paraId="4CEB974E" w14:textId="77777777" w:rsidR="00997DA2" w:rsidRPr="000A4BDC" w:rsidRDefault="00997DA2" w:rsidP="00997DA2">
      <w:pPr>
        <w:jc w:val="both"/>
        <w:rPr>
          <w:rFonts w:cstheme="minorHAnsi"/>
          <w:sz w:val="24"/>
          <w:szCs w:val="24"/>
        </w:rPr>
      </w:pPr>
      <w:r w:rsidRPr="000A4BDC">
        <w:rPr>
          <w:rFonts w:cstheme="minorHAnsi"/>
          <w:sz w:val="24"/>
          <w:szCs w:val="24"/>
        </w:rPr>
        <w:lastRenderedPageBreak/>
        <w:t xml:space="preserve">Swartz, D., (1997), </w:t>
      </w:r>
      <w:r w:rsidRPr="000A4BDC">
        <w:rPr>
          <w:rFonts w:cstheme="minorHAnsi"/>
          <w:i/>
          <w:sz w:val="24"/>
          <w:szCs w:val="24"/>
        </w:rPr>
        <w:t>Culture and Power: The Sociology of Pierre Bourdieu</w:t>
      </w:r>
      <w:r w:rsidRPr="000A4BDC">
        <w:rPr>
          <w:rFonts w:cstheme="minorHAnsi"/>
          <w:sz w:val="24"/>
          <w:szCs w:val="24"/>
        </w:rPr>
        <w:t>, Chicago: University of Chicago Press.</w:t>
      </w:r>
    </w:p>
    <w:p w14:paraId="74F06CDA" w14:textId="77777777" w:rsidR="00997DA2" w:rsidRPr="000A4BDC" w:rsidRDefault="00997DA2" w:rsidP="00997DA2">
      <w:pPr>
        <w:jc w:val="both"/>
        <w:rPr>
          <w:rFonts w:cstheme="minorHAnsi"/>
          <w:sz w:val="24"/>
          <w:szCs w:val="24"/>
        </w:rPr>
      </w:pPr>
      <w:r w:rsidRPr="000A4BDC">
        <w:rPr>
          <w:rFonts w:cstheme="minorHAnsi"/>
          <w:sz w:val="24"/>
          <w:szCs w:val="24"/>
        </w:rPr>
        <w:t xml:space="preserve">Tomlinson, S., (2008), </w:t>
      </w:r>
      <w:r w:rsidRPr="000A4BDC">
        <w:rPr>
          <w:rFonts w:cstheme="minorHAnsi"/>
          <w:i/>
          <w:sz w:val="24"/>
          <w:szCs w:val="24"/>
        </w:rPr>
        <w:t>Education in a Post-welfare Society</w:t>
      </w:r>
      <w:r w:rsidRPr="000A4BDC">
        <w:rPr>
          <w:rFonts w:cstheme="minorHAnsi"/>
          <w:sz w:val="24"/>
          <w:szCs w:val="24"/>
        </w:rPr>
        <w:t>, Maidenhead: Open University Press.</w:t>
      </w:r>
    </w:p>
    <w:p w14:paraId="3F8BCDFA" w14:textId="77777777" w:rsidR="00997DA2" w:rsidRPr="000A4BDC" w:rsidRDefault="00997DA2" w:rsidP="00997DA2">
      <w:pPr>
        <w:jc w:val="both"/>
        <w:rPr>
          <w:rFonts w:cstheme="minorHAnsi"/>
          <w:sz w:val="24"/>
          <w:szCs w:val="24"/>
        </w:rPr>
      </w:pPr>
      <w:r w:rsidRPr="000A4BDC">
        <w:rPr>
          <w:rFonts w:cstheme="minorHAnsi"/>
          <w:sz w:val="24"/>
          <w:szCs w:val="24"/>
        </w:rPr>
        <w:t xml:space="preserve">Wright-Mills, C., (1959), </w:t>
      </w:r>
      <w:r w:rsidRPr="000A4BDC">
        <w:rPr>
          <w:rFonts w:cstheme="minorHAnsi"/>
          <w:i/>
          <w:sz w:val="24"/>
          <w:szCs w:val="24"/>
        </w:rPr>
        <w:t>The Sociological Imagination</w:t>
      </w:r>
      <w:r w:rsidRPr="000A4BDC">
        <w:rPr>
          <w:rFonts w:cstheme="minorHAnsi"/>
          <w:sz w:val="24"/>
          <w:szCs w:val="24"/>
        </w:rPr>
        <w:t>, Oxford: Oxford University Press.</w:t>
      </w:r>
    </w:p>
    <w:p w14:paraId="00CC3CB2" w14:textId="77777777" w:rsidR="00364289" w:rsidRPr="000A4BDC" w:rsidRDefault="00364289" w:rsidP="00582590">
      <w:pPr>
        <w:spacing w:line="276" w:lineRule="auto"/>
        <w:jc w:val="both"/>
        <w:rPr>
          <w:rFonts w:cstheme="minorHAnsi"/>
          <w:b/>
          <w:sz w:val="24"/>
          <w:szCs w:val="24"/>
        </w:rPr>
      </w:pPr>
    </w:p>
    <w:sectPr w:rsidR="00364289" w:rsidRPr="000A4BDC" w:rsidSect="00615D2E">
      <w:footerReference w:type="default" r:id="rId2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52AA9" w14:textId="77777777" w:rsidR="006D6BB6" w:rsidRDefault="006D6BB6" w:rsidP="002D4611">
      <w:pPr>
        <w:spacing w:after="0" w:line="240" w:lineRule="auto"/>
      </w:pPr>
      <w:r>
        <w:separator/>
      </w:r>
    </w:p>
  </w:endnote>
  <w:endnote w:type="continuationSeparator" w:id="0">
    <w:p w14:paraId="288E7B81" w14:textId="77777777" w:rsidR="006D6BB6" w:rsidRDefault="006D6BB6" w:rsidP="002D4611">
      <w:pPr>
        <w:spacing w:after="0" w:line="240" w:lineRule="auto"/>
      </w:pPr>
      <w:r>
        <w:continuationSeparator/>
      </w:r>
    </w:p>
  </w:endnote>
  <w:endnote w:type="continuationNotice" w:id="1">
    <w:p w14:paraId="0A2096A7" w14:textId="77777777" w:rsidR="006D6BB6" w:rsidRDefault="006D6B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5380712"/>
      <w:docPartObj>
        <w:docPartGallery w:val="Page Numbers (Bottom of Page)"/>
        <w:docPartUnique/>
      </w:docPartObj>
    </w:sdtPr>
    <w:sdtEndPr>
      <w:rPr>
        <w:noProof/>
      </w:rPr>
    </w:sdtEndPr>
    <w:sdtContent>
      <w:p w14:paraId="68384506" w14:textId="3DF4CE58" w:rsidR="00D026CA" w:rsidRDefault="00D026CA" w:rsidP="00615D2E">
        <w:pPr>
          <w:pStyle w:val="Footer"/>
        </w:pPr>
        <w:r>
          <w:fldChar w:fldCharType="begin"/>
        </w:r>
        <w:r w:rsidRPr="00615D2E">
          <w:instrText xml:space="preserve"> PAGE   \* MERGEFORMAT </w:instrText>
        </w:r>
        <w:r>
          <w:fldChar w:fldCharType="separate"/>
        </w:r>
        <w:r w:rsidR="00263CAF">
          <w:rPr>
            <w:noProof/>
          </w:rPr>
          <w:t>1</w:t>
        </w:r>
        <w:r>
          <w:rPr>
            <w:noProof/>
          </w:rPr>
          <w:fldChar w:fldCharType="end"/>
        </w:r>
      </w:p>
    </w:sdtContent>
  </w:sdt>
  <w:p w14:paraId="51BCF116" w14:textId="77777777" w:rsidR="00D026CA" w:rsidRDefault="00D026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3B0CD" w14:textId="77777777" w:rsidR="006D6BB6" w:rsidRDefault="006D6BB6" w:rsidP="002D4611">
      <w:pPr>
        <w:spacing w:after="0" w:line="240" w:lineRule="auto"/>
      </w:pPr>
      <w:r>
        <w:separator/>
      </w:r>
    </w:p>
  </w:footnote>
  <w:footnote w:type="continuationSeparator" w:id="0">
    <w:p w14:paraId="6DF9568E" w14:textId="77777777" w:rsidR="006D6BB6" w:rsidRDefault="006D6BB6" w:rsidP="002D4611">
      <w:pPr>
        <w:spacing w:after="0" w:line="240" w:lineRule="auto"/>
      </w:pPr>
      <w:r>
        <w:continuationSeparator/>
      </w:r>
    </w:p>
  </w:footnote>
  <w:footnote w:type="continuationNotice" w:id="1">
    <w:p w14:paraId="2071D5EA" w14:textId="77777777" w:rsidR="006D6BB6" w:rsidRDefault="006D6BB6">
      <w:pPr>
        <w:spacing w:after="0"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2F58"/>
    <w:multiLevelType w:val="hybridMultilevel"/>
    <w:tmpl w:val="8FE6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945864"/>
    <w:multiLevelType w:val="hybridMultilevel"/>
    <w:tmpl w:val="3B2430FC"/>
    <w:lvl w:ilvl="0" w:tplc="98E88178">
      <w:start w:val="1"/>
      <w:numFmt w:val="decimal"/>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2D6EB8"/>
    <w:multiLevelType w:val="hybridMultilevel"/>
    <w:tmpl w:val="9028EB7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54D70DA9"/>
    <w:multiLevelType w:val="hybridMultilevel"/>
    <w:tmpl w:val="30964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B132046"/>
    <w:multiLevelType w:val="hybridMultilevel"/>
    <w:tmpl w:val="1886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CF1738"/>
    <w:multiLevelType w:val="hybridMultilevel"/>
    <w:tmpl w:val="2DAEE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3D"/>
    <w:rsid w:val="00001F5E"/>
    <w:rsid w:val="000050DB"/>
    <w:rsid w:val="000073D7"/>
    <w:rsid w:val="00011EC8"/>
    <w:rsid w:val="00025FA6"/>
    <w:rsid w:val="00027EDF"/>
    <w:rsid w:val="00033CE1"/>
    <w:rsid w:val="00042243"/>
    <w:rsid w:val="0005706E"/>
    <w:rsid w:val="00060A12"/>
    <w:rsid w:val="00066756"/>
    <w:rsid w:val="00075B8A"/>
    <w:rsid w:val="00076D74"/>
    <w:rsid w:val="00080908"/>
    <w:rsid w:val="00081C79"/>
    <w:rsid w:val="00084A75"/>
    <w:rsid w:val="00087739"/>
    <w:rsid w:val="00090FE0"/>
    <w:rsid w:val="000931C3"/>
    <w:rsid w:val="00093203"/>
    <w:rsid w:val="00093245"/>
    <w:rsid w:val="000935FB"/>
    <w:rsid w:val="000A4BDC"/>
    <w:rsid w:val="000A5638"/>
    <w:rsid w:val="000B3587"/>
    <w:rsid w:val="000B5E3D"/>
    <w:rsid w:val="000B79C6"/>
    <w:rsid w:val="000C49A0"/>
    <w:rsid w:val="000D27A2"/>
    <w:rsid w:val="000D3E7C"/>
    <w:rsid w:val="000D4B0B"/>
    <w:rsid w:val="000D789D"/>
    <w:rsid w:val="000E2A79"/>
    <w:rsid w:val="000E2E01"/>
    <w:rsid w:val="0010232C"/>
    <w:rsid w:val="0010287C"/>
    <w:rsid w:val="00112CC6"/>
    <w:rsid w:val="0011580A"/>
    <w:rsid w:val="001168CF"/>
    <w:rsid w:val="00122A2E"/>
    <w:rsid w:val="001319C5"/>
    <w:rsid w:val="00140A9A"/>
    <w:rsid w:val="00145AEF"/>
    <w:rsid w:val="00153BEC"/>
    <w:rsid w:val="0016486E"/>
    <w:rsid w:val="00166C5F"/>
    <w:rsid w:val="00170552"/>
    <w:rsid w:val="00184FC2"/>
    <w:rsid w:val="001919A3"/>
    <w:rsid w:val="001928BA"/>
    <w:rsid w:val="001A1253"/>
    <w:rsid w:val="001A5ED1"/>
    <w:rsid w:val="001C67BD"/>
    <w:rsid w:val="001D580F"/>
    <w:rsid w:val="001E0F49"/>
    <w:rsid w:val="001E12BE"/>
    <w:rsid w:val="0020039C"/>
    <w:rsid w:val="00214E62"/>
    <w:rsid w:val="00215979"/>
    <w:rsid w:val="002159DF"/>
    <w:rsid w:val="00216BE1"/>
    <w:rsid w:val="00256A35"/>
    <w:rsid w:val="0026197D"/>
    <w:rsid w:val="00263CAF"/>
    <w:rsid w:val="0027696C"/>
    <w:rsid w:val="00285186"/>
    <w:rsid w:val="002945B8"/>
    <w:rsid w:val="002B3B9F"/>
    <w:rsid w:val="002B7034"/>
    <w:rsid w:val="002C161C"/>
    <w:rsid w:val="002C6078"/>
    <w:rsid w:val="002D4611"/>
    <w:rsid w:val="002D6FCE"/>
    <w:rsid w:val="002E53E6"/>
    <w:rsid w:val="002F15E3"/>
    <w:rsid w:val="003038FD"/>
    <w:rsid w:val="00310ABA"/>
    <w:rsid w:val="00310E03"/>
    <w:rsid w:val="00312670"/>
    <w:rsid w:val="00312ED7"/>
    <w:rsid w:val="00315C5D"/>
    <w:rsid w:val="003162D6"/>
    <w:rsid w:val="0031700A"/>
    <w:rsid w:val="00331ACC"/>
    <w:rsid w:val="00331D28"/>
    <w:rsid w:val="00331FFB"/>
    <w:rsid w:val="0034081A"/>
    <w:rsid w:val="00340F25"/>
    <w:rsid w:val="00342195"/>
    <w:rsid w:val="00345654"/>
    <w:rsid w:val="00353C6C"/>
    <w:rsid w:val="0036284E"/>
    <w:rsid w:val="00364289"/>
    <w:rsid w:val="0036570B"/>
    <w:rsid w:val="0037033A"/>
    <w:rsid w:val="003730CA"/>
    <w:rsid w:val="003B02A2"/>
    <w:rsid w:val="003B0ECD"/>
    <w:rsid w:val="003B1CFA"/>
    <w:rsid w:val="003B3FBF"/>
    <w:rsid w:val="003C7E72"/>
    <w:rsid w:val="003D2768"/>
    <w:rsid w:val="003D5956"/>
    <w:rsid w:val="003E1C55"/>
    <w:rsid w:val="00401410"/>
    <w:rsid w:val="00406F60"/>
    <w:rsid w:val="004133BC"/>
    <w:rsid w:val="00413762"/>
    <w:rsid w:val="00421FA5"/>
    <w:rsid w:val="00430E02"/>
    <w:rsid w:val="00433C54"/>
    <w:rsid w:val="00441EAF"/>
    <w:rsid w:val="00450731"/>
    <w:rsid w:val="0045130D"/>
    <w:rsid w:val="00451FCB"/>
    <w:rsid w:val="00455CAA"/>
    <w:rsid w:val="0046367A"/>
    <w:rsid w:val="0047475C"/>
    <w:rsid w:val="00475675"/>
    <w:rsid w:val="00475F7B"/>
    <w:rsid w:val="00485460"/>
    <w:rsid w:val="00497996"/>
    <w:rsid w:val="004A15F2"/>
    <w:rsid w:val="004B7086"/>
    <w:rsid w:val="004C02A9"/>
    <w:rsid w:val="004C29D3"/>
    <w:rsid w:val="004C5633"/>
    <w:rsid w:val="004D424B"/>
    <w:rsid w:val="004D46E3"/>
    <w:rsid w:val="004E000C"/>
    <w:rsid w:val="004F1574"/>
    <w:rsid w:val="004F2CA0"/>
    <w:rsid w:val="004F42E9"/>
    <w:rsid w:val="004F53D4"/>
    <w:rsid w:val="00500551"/>
    <w:rsid w:val="00524674"/>
    <w:rsid w:val="00526A2F"/>
    <w:rsid w:val="00532C36"/>
    <w:rsid w:val="0055372A"/>
    <w:rsid w:val="00554164"/>
    <w:rsid w:val="005547A0"/>
    <w:rsid w:val="00555BB4"/>
    <w:rsid w:val="00557316"/>
    <w:rsid w:val="00562EF8"/>
    <w:rsid w:val="005639F9"/>
    <w:rsid w:val="00573D85"/>
    <w:rsid w:val="00576849"/>
    <w:rsid w:val="00582590"/>
    <w:rsid w:val="0058623F"/>
    <w:rsid w:val="00597E9F"/>
    <w:rsid w:val="005A55AA"/>
    <w:rsid w:val="005B1253"/>
    <w:rsid w:val="005D07D4"/>
    <w:rsid w:val="005D2678"/>
    <w:rsid w:val="005D2ECB"/>
    <w:rsid w:val="005E11BA"/>
    <w:rsid w:val="005E12AC"/>
    <w:rsid w:val="005F5A2A"/>
    <w:rsid w:val="006002DA"/>
    <w:rsid w:val="00603820"/>
    <w:rsid w:val="0061273F"/>
    <w:rsid w:val="00614C9F"/>
    <w:rsid w:val="00615D2E"/>
    <w:rsid w:val="0062373D"/>
    <w:rsid w:val="00641DCF"/>
    <w:rsid w:val="00643199"/>
    <w:rsid w:val="00646BF0"/>
    <w:rsid w:val="006471CE"/>
    <w:rsid w:val="00655AC7"/>
    <w:rsid w:val="00663D91"/>
    <w:rsid w:val="006678E9"/>
    <w:rsid w:val="006746EB"/>
    <w:rsid w:val="00680B4B"/>
    <w:rsid w:val="00681B91"/>
    <w:rsid w:val="006870CF"/>
    <w:rsid w:val="006945C8"/>
    <w:rsid w:val="00695150"/>
    <w:rsid w:val="006A7534"/>
    <w:rsid w:val="006B08F5"/>
    <w:rsid w:val="006B730E"/>
    <w:rsid w:val="006C3AEE"/>
    <w:rsid w:val="006C4C3C"/>
    <w:rsid w:val="006C59A7"/>
    <w:rsid w:val="006D1C5B"/>
    <w:rsid w:val="006D373D"/>
    <w:rsid w:val="006D6BB6"/>
    <w:rsid w:val="006E1D63"/>
    <w:rsid w:val="006E3855"/>
    <w:rsid w:val="006E4348"/>
    <w:rsid w:val="006F0A1E"/>
    <w:rsid w:val="006F538B"/>
    <w:rsid w:val="006F5E55"/>
    <w:rsid w:val="006F62A3"/>
    <w:rsid w:val="0072587A"/>
    <w:rsid w:val="00725C5E"/>
    <w:rsid w:val="00726150"/>
    <w:rsid w:val="0073532B"/>
    <w:rsid w:val="00763370"/>
    <w:rsid w:val="007668F5"/>
    <w:rsid w:val="00777E35"/>
    <w:rsid w:val="0078551C"/>
    <w:rsid w:val="00787371"/>
    <w:rsid w:val="007A0055"/>
    <w:rsid w:val="007A6836"/>
    <w:rsid w:val="007B07DA"/>
    <w:rsid w:val="007B1911"/>
    <w:rsid w:val="007C2B48"/>
    <w:rsid w:val="007C520F"/>
    <w:rsid w:val="007C7663"/>
    <w:rsid w:val="007C7B28"/>
    <w:rsid w:val="007D320F"/>
    <w:rsid w:val="007D54B3"/>
    <w:rsid w:val="007D5FF5"/>
    <w:rsid w:val="007D7B99"/>
    <w:rsid w:val="007E300E"/>
    <w:rsid w:val="007E3260"/>
    <w:rsid w:val="007F1FA7"/>
    <w:rsid w:val="007F6434"/>
    <w:rsid w:val="008005AF"/>
    <w:rsid w:val="00807F91"/>
    <w:rsid w:val="008101E1"/>
    <w:rsid w:val="0081755B"/>
    <w:rsid w:val="008175B9"/>
    <w:rsid w:val="008215A1"/>
    <w:rsid w:val="00823992"/>
    <w:rsid w:val="00836B8F"/>
    <w:rsid w:val="00836CAE"/>
    <w:rsid w:val="0087125B"/>
    <w:rsid w:val="00872EE7"/>
    <w:rsid w:val="00883BBC"/>
    <w:rsid w:val="008873E6"/>
    <w:rsid w:val="00887D01"/>
    <w:rsid w:val="00887FDE"/>
    <w:rsid w:val="008931B0"/>
    <w:rsid w:val="00894E30"/>
    <w:rsid w:val="00895961"/>
    <w:rsid w:val="0089615A"/>
    <w:rsid w:val="008A0B0D"/>
    <w:rsid w:val="008A434F"/>
    <w:rsid w:val="008A576F"/>
    <w:rsid w:val="008A6E13"/>
    <w:rsid w:val="008B67AE"/>
    <w:rsid w:val="008B7332"/>
    <w:rsid w:val="008C1947"/>
    <w:rsid w:val="008C1D71"/>
    <w:rsid w:val="008D2D8A"/>
    <w:rsid w:val="008D5989"/>
    <w:rsid w:val="008E1047"/>
    <w:rsid w:val="008E4EC9"/>
    <w:rsid w:val="00901747"/>
    <w:rsid w:val="009167AE"/>
    <w:rsid w:val="0092347F"/>
    <w:rsid w:val="00944630"/>
    <w:rsid w:val="00945E9A"/>
    <w:rsid w:val="009624FB"/>
    <w:rsid w:val="00967781"/>
    <w:rsid w:val="0097399D"/>
    <w:rsid w:val="00996C73"/>
    <w:rsid w:val="00997581"/>
    <w:rsid w:val="00997DA2"/>
    <w:rsid w:val="009A090E"/>
    <w:rsid w:val="009A73CF"/>
    <w:rsid w:val="009B2509"/>
    <w:rsid w:val="009B50B6"/>
    <w:rsid w:val="009C49E4"/>
    <w:rsid w:val="009D0A57"/>
    <w:rsid w:val="009D5C4E"/>
    <w:rsid w:val="009E68F4"/>
    <w:rsid w:val="009F3D3B"/>
    <w:rsid w:val="00A051AC"/>
    <w:rsid w:val="00A06B95"/>
    <w:rsid w:val="00A25701"/>
    <w:rsid w:val="00A30764"/>
    <w:rsid w:val="00A3436D"/>
    <w:rsid w:val="00A37130"/>
    <w:rsid w:val="00A431F1"/>
    <w:rsid w:val="00A46706"/>
    <w:rsid w:val="00A47D2D"/>
    <w:rsid w:val="00A520BF"/>
    <w:rsid w:val="00A56362"/>
    <w:rsid w:val="00A5765E"/>
    <w:rsid w:val="00A57C2B"/>
    <w:rsid w:val="00A725DA"/>
    <w:rsid w:val="00A732A1"/>
    <w:rsid w:val="00A74CE1"/>
    <w:rsid w:val="00A75B0C"/>
    <w:rsid w:val="00A9341C"/>
    <w:rsid w:val="00A95B75"/>
    <w:rsid w:val="00AA35B2"/>
    <w:rsid w:val="00AB00F1"/>
    <w:rsid w:val="00AB7201"/>
    <w:rsid w:val="00AC48EC"/>
    <w:rsid w:val="00AD5748"/>
    <w:rsid w:val="00AE17D0"/>
    <w:rsid w:val="00AE1C5E"/>
    <w:rsid w:val="00AE614D"/>
    <w:rsid w:val="00AE6E80"/>
    <w:rsid w:val="00AF0F85"/>
    <w:rsid w:val="00AF293D"/>
    <w:rsid w:val="00AF6619"/>
    <w:rsid w:val="00B055D0"/>
    <w:rsid w:val="00B12B9E"/>
    <w:rsid w:val="00B12EDF"/>
    <w:rsid w:val="00B138B9"/>
    <w:rsid w:val="00B32676"/>
    <w:rsid w:val="00B344EC"/>
    <w:rsid w:val="00B35821"/>
    <w:rsid w:val="00B358E2"/>
    <w:rsid w:val="00B40485"/>
    <w:rsid w:val="00B406D3"/>
    <w:rsid w:val="00B40991"/>
    <w:rsid w:val="00B45DF2"/>
    <w:rsid w:val="00B776BE"/>
    <w:rsid w:val="00B9568C"/>
    <w:rsid w:val="00BA094B"/>
    <w:rsid w:val="00BA46A7"/>
    <w:rsid w:val="00BA7CF8"/>
    <w:rsid w:val="00BC2D00"/>
    <w:rsid w:val="00BC41BC"/>
    <w:rsid w:val="00BC6166"/>
    <w:rsid w:val="00BD100D"/>
    <w:rsid w:val="00BD7100"/>
    <w:rsid w:val="00BE014A"/>
    <w:rsid w:val="00BE1E38"/>
    <w:rsid w:val="00BE4B2D"/>
    <w:rsid w:val="00BE556F"/>
    <w:rsid w:val="00BE5DD5"/>
    <w:rsid w:val="00BF48EB"/>
    <w:rsid w:val="00BF6EE9"/>
    <w:rsid w:val="00C043DF"/>
    <w:rsid w:val="00C227D0"/>
    <w:rsid w:val="00C24D7F"/>
    <w:rsid w:val="00C40EDB"/>
    <w:rsid w:val="00C41477"/>
    <w:rsid w:val="00C46C34"/>
    <w:rsid w:val="00C50410"/>
    <w:rsid w:val="00C521CE"/>
    <w:rsid w:val="00C63A5B"/>
    <w:rsid w:val="00C74CCE"/>
    <w:rsid w:val="00C74D61"/>
    <w:rsid w:val="00C90BC9"/>
    <w:rsid w:val="00C957E4"/>
    <w:rsid w:val="00CA2C9B"/>
    <w:rsid w:val="00CA39CA"/>
    <w:rsid w:val="00CA5816"/>
    <w:rsid w:val="00CD23A9"/>
    <w:rsid w:val="00CD637C"/>
    <w:rsid w:val="00CE7846"/>
    <w:rsid w:val="00CF29B2"/>
    <w:rsid w:val="00D026CA"/>
    <w:rsid w:val="00D24C8C"/>
    <w:rsid w:val="00D33CAD"/>
    <w:rsid w:val="00D50225"/>
    <w:rsid w:val="00D50599"/>
    <w:rsid w:val="00D51BDA"/>
    <w:rsid w:val="00D56B44"/>
    <w:rsid w:val="00D67B84"/>
    <w:rsid w:val="00D71D98"/>
    <w:rsid w:val="00D81358"/>
    <w:rsid w:val="00D91A6A"/>
    <w:rsid w:val="00DA33E7"/>
    <w:rsid w:val="00DB3D3D"/>
    <w:rsid w:val="00DB4D0C"/>
    <w:rsid w:val="00DC2CC0"/>
    <w:rsid w:val="00DC4FA8"/>
    <w:rsid w:val="00DD08A0"/>
    <w:rsid w:val="00DD2B3E"/>
    <w:rsid w:val="00DD30FF"/>
    <w:rsid w:val="00DD3B28"/>
    <w:rsid w:val="00DD569E"/>
    <w:rsid w:val="00DD6764"/>
    <w:rsid w:val="00DD7DBE"/>
    <w:rsid w:val="00DE0AA6"/>
    <w:rsid w:val="00DE5DCC"/>
    <w:rsid w:val="00DF5CA0"/>
    <w:rsid w:val="00E05638"/>
    <w:rsid w:val="00E11FC8"/>
    <w:rsid w:val="00E14DF2"/>
    <w:rsid w:val="00E224A7"/>
    <w:rsid w:val="00E232D6"/>
    <w:rsid w:val="00E30E36"/>
    <w:rsid w:val="00E46166"/>
    <w:rsid w:val="00E54B4A"/>
    <w:rsid w:val="00E56587"/>
    <w:rsid w:val="00E565E4"/>
    <w:rsid w:val="00E633D6"/>
    <w:rsid w:val="00E75615"/>
    <w:rsid w:val="00E75D10"/>
    <w:rsid w:val="00E760FF"/>
    <w:rsid w:val="00E92A7F"/>
    <w:rsid w:val="00EA62F1"/>
    <w:rsid w:val="00EA6460"/>
    <w:rsid w:val="00EA73FC"/>
    <w:rsid w:val="00EB1DB8"/>
    <w:rsid w:val="00ED2157"/>
    <w:rsid w:val="00EE1A9A"/>
    <w:rsid w:val="00EE1DDB"/>
    <w:rsid w:val="00EE40D6"/>
    <w:rsid w:val="00EE49D3"/>
    <w:rsid w:val="00EF2C1D"/>
    <w:rsid w:val="00EF7D3D"/>
    <w:rsid w:val="00F11A11"/>
    <w:rsid w:val="00F15015"/>
    <w:rsid w:val="00F17243"/>
    <w:rsid w:val="00F175E1"/>
    <w:rsid w:val="00F24854"/>
    <w:rsid w:val="00F277F8"/>
    <w:rsid w:val="00F3606E"/>
    <w:rsid w:val="00F4482D"/>
    <w:rsid w:val="00F502E7"/>
    <w:rsid w:val="00F51326"/>
    <w:rsid w:val="00F57F8A"/>
    <w:rsid w:val="00F61732"/>
    <w:rsid w:val="00F73F81"/>
    <w:rsid w:val="00F80428"/>
    <w:rsid w:val="00F83A6C"/>
    <w:rsid w:val="00F8504F"/>
    <w:rsid w:val="00F869BE"/>
    <w:rsid w:val="00FB2C2E"/>
    <w:rsid w:val="00FB2EB6"/>
    <w:rsid w:val="00FC0CEC"/>
    <w:rsid w:val="00FC5DB6"/>
    <w:rsid w:val="00FC7AAB"/>
    <w:rsid w:val="00FD7054"/>
    <w:rsid w:val="00FE206F"/>
    <w:rsid w:val="00FF46F6"/>
    <w:rsid w:val="00FF5CD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C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1ACC"/>
  </w:style>
  <w:style w:type="paragraph" w:styleId="Heading2">
    <w:name w:val="heading 2"/>
    <w:basedOn w:val="Index2"/>
    <w:next w:val="Normal"/>
    <w:link w:val="Heading2Char"/>
    <w:uiPriority w:val="99"/>
    <w:qFormat/>
    <w:rsid w:val="0092347F"/>
    <w:pPr>
      <w:keepNext/>
      <w:spacing w:before="240" w:after="60"/>
      <w:ind w:left="400" w:hanging="200"/>
      <w:outlineLvl w:val="1"/>
    </w:pPr>
    <w:rPr>
      <w:rFonts w:ascii="Arial" w:eastAsia="Times New Roman" w:hAnsi="Arial" w:cs="Arial"/>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4611"/>
  </w:style>
  <w:style w:type="paragraph" w:styleId="Header">
    <w:name w:val="header"/>
    <w:basedOn w:val="Normal"/>
    <w:link w:val="HeaderChar"/>
    <w:uiPriority w:val="99"/>
    <w:unhideWhenUsed/>
    <w:rsid w:val="002D4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611"/>
  </w:style>
  <w:style w:type="paragraph" w:styleId="Footer">
    <w:name w:val="footer"/>
    <w:basedOn w:val="Normal"/>
    <w:link w:val="FooterChar"/>
    <w:uiPriority w:val="99"/>
    <w:unhideWhenUsed/>
    <w:rsid w:val="002D4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611"/>
  </w:style>
  <w:style w:type="paragraph" w:styleId="NormalWeb">
    <w:name w:val="Normal (Web)"/>
    <w:basedOn w:val="Normal"/>
    <w:uiPriority w:val="99"/>
    <w:unhideWhenUsed/>
    <w:rsid w:val="006945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Emphasis">
    <w:name w:val="Subtle Emphasis"/>
    <w:basedOn w:val="DefaultParagraphFont"/>
    <w:uiPriority w:val="19"/>
    <w:qFormat/>
    <w:rsid w:val="00576849"/>
    <w:rPr>
      <w:i/>
      <w:iCs/>
      <w:color w:val="404040" w:themeColor="text1" w:themeTint="BF"/>
    </w:rPr>
  </w:style>
  <w:style w:type="character" w:customStyle="1" w:styleId="Heading2Char">
    <w:name w:val="Heading 2 Char"/>
    <w:basedOn w:val="DefaultParagraphFont"/>
    <w:link w:val="Heading2"/>
    <w:uiPriority w:val="99"/>
    <w:rsid w:val="0092347F"/>
    <w:rPr>
      <w:rFonts w:ascii="Arial" w:eastAsia="Times New Roman" w:hAnsi="Arial" w:cs="Arial"/>
      <w:b/>
      <w:bCs/>
      <w:i/>
      <w:iCs/>
      <w:color w:val="000000"/>
      <w:sz w:val="24"/>
      <w:szCs w:val="24"/>
    </w:rPr>
  </w:style>
  <w:style w:type="paragraph" w:styleId="BodyTextIndent2">
    <w:name w:val="Body Text Indent 2"/>
    <w:basedOn w:val="Normal"/>
    <w:link w:val="BodyTextIndent2Char"/>
    <w:uiPriority w:val="99"/>
    <w:rsid w:val="0092347F"/>
    <w:pPr>
      <w:tabs>
        <w:tab w:val="left" w:pos="567"/>
      </w:tabs>
      <w:spacing w:after="0" w:line="240" w:lineRule="auto"/>
      <w:ind w:left="567" w:hanging="567"/>
    </w:pPr>
    <w:rPr>
      <w:rFonts w:ascii="Arial" w:eastAsia="Times New Roman" w:hAnsi="Arial" w:cs="Arial"/>
      <w:sz w:val="28"/>
      <w:szCs w:val="28"/>
      <w:lang w:val="en-US"/>
    </w:rPr>
  </w:style>
  <w:style w:type="character" w:customStyle="1" w:styleId="BodyTextIndent2Char">
    <w:name w:val="Body Text Indent 2 Char"/>
    <w:basedOn w:val="DefaultParagraphFont"/>
    <w:link w:val="BodyTextIndent2"/>
    <w:uiPriority w:val="99"/>
    <w:rsid w:val="0092347F"/>
    <w:rPr>
      <w:rFonts w:ascii="Arial" w:eastAsia="Times New Roman" w:hAnsi="Arial" w:cs="Arial"/>
      <w:sz w:val="28"/>
      <w:szCs w:val="28"/>
      <w:lang w:val="en-US"/>
    </w:rPr>
  </w:style>
  <w:style w:type="paragraph" w:styleId="Index2">
    <w:name w:val="index 2"/>
    <w:basedOn w:val="Normal"/>
    <w:next w:val="Normal"/>
    <w:autoRedefine/>
    <w:uiPriority w:val="99"/>
    <w:semiHidden/>
    <w:unhideWhenUsed/>
    <w:rsid w:val="0092347F"/>
    <w:pPr>
      <w:spacing w:after="0" w:line="240" w:lineRule="auto"/>
      <w:ind w:left="440" w:hanging="220"/>
    </w:pPr>
  </w:style>
  <w:style w:type="paragraph" w:styleId="BalloonText">
    <w:name w:val="Balloon Text"/>
    <w:basedOn w:val="Normal"/>
    <w:link w:val="BalloonTextChar"/>
    <w:uiPriority w:val="99"/>
    <w:semiHidden/>
    <w:unhideWhenUsed/>
    <w:rsid w:val="000E2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01"/>
    <w:rPr>
      <w:rFonts w:ascii="Segoe UI" w:hAnsi="Segoe UI" w:cs="Segoe UI"/>
      <w:sz w:val="18"/>
      <w:szCs w:val="18"/>
    </w:rPr>
  </w:style>
  <w:style w:type="paragraph" w:styleId="ListParagraph">
    <w:name w:val="List Paragraph"/>
    <w:basedOn w:val="Normal"/>
    <w:uiPriority w:val="34"/>
    <w:qFormat/>
    <w:rsid w:val="00331D28"/>
    <w:pPr>
      <w:spacing w:after="200" w:line="276" w:lineRule="auto"/>
      <w:ind w:left="720"/>
      <w:contextualSpacing/>
    </w:pPr>
    <w:rPr>
      <w:rFonts w:ascii="Calibri" w:eastAsia="Times New Roman" w:hAnsi="Calibri" w:cs="Times New Roman"/>
      <w:lang w:val="en-US"/>
    </w:rPr>
  </w:style>
  <w:style w:type="paragraph" w:styleId="Caption">
    <w:name w:val="caption"/>
    <w:basedOn w:val="Normal"/>
    <w:next w:val="Normal"/>
    <w:uiPriority w:val="99"/>
    <w:qFormat/>
    <w:rsid w:val="00331D28"/>
    <w:pPr>
      <w:spacing w:after="200" w:line="240" w:lineRule="auto"/>
    </w:pPr>
    <w:rPr>
      <w:rFonts w:ascii="Calibri" w:eastAsia="Times New Roman" w:hAnsi="Calibri" w:cs="Times New Roman"/>
      <w:b/>
      <w:bCs/>
      <w:color w:val="4F81BD"/>
      <w:sz w:val="18"/>
      <w:szCs w:val="18"/>
    </w:rPr>
  </w:style>
  <w:style w:type="table" w:styleId="TableGrid">
    <w:name w:val="Table Grid"/>
    <w:basedOn w:val="TableNormal"/>
    <w:uiPriority w:val="59"/>
    <w:rsid w:val="0073532B"/>
    <w:pPr>
      <w:spacing w:after="0" w:line="240" w:lineRule="auto"/>
    </w:pPr>
    <w:rPr>
      <w:rFonts w:ascii="Times New Roman" w:eastAsia="Times New Roman" w:hAnsi="Times New Roman" w:cs="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73532B"/>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sid w:val="0073532B"/>
    <w:rPr>
      <w:rFonts w:ascii="Calibri" w:eastAsia="Times New Roman" w:hAnsi="Calibri" w:cs="Times New Roman"/>
      <w:szCs w:val="21"/>
    </w:rPr>
  </w:style>
  <w:style w:type="character" w:styleId="CommentReference">
    <w:name w:val="annotation reference"/>
    <w:basedOn w:val="DefaultParagraphFont"/>
    <w:uiPriority w:val="99"/>
    <w:semiHidden/>
    <w:unhideWhenUsed/>
    <w:rsid w:val="00C50410"/>
    <w:rPr>
      <w:sz w:val="16"/>
      <w:szCs w:val="16"/>
    </w:rPr>
  </w:style>
  <w:style w:type="paragraph" w:styleId="CommentText">
    <w:name w:val="annotation text"/>
    <w:basedOn w:val="Normal"/>
    <w:link w:val="CommentTextChar"/>
    <w:uiPriority w:val="99"/>
    <w:unhideWhenUsed/>
    <w:rsid w:val="00C50410"/>
    <w:pPr>
      <w:spacing w:line="240" w:lineRule="auto"/>
    </w:pPr>
    <w:rPr>
      <w:sz w:val="20"/>
      <w:szCs w:val="20"/>
    </w:rPr>
  </w:style>
  <w:style w:type="character" w:customStyle="1" w:styleId="CommentTextChar">
    <w:name w:val="Comment Text Char"/>
    <w:basedOn w:val="DefaultParagraphFont"/>
    <w:link w:val="CommentText"/>
    <w:uiPriority w:val="99"/>
    <w:rsid w:val="00C50410"/>
    <w:rPr>
      <w:sz w:val="20"/>
      <w:szCs w:val="20"/>
    </w:rPr>
  </w:style>
  <w:style w:type="paragraph" w:styleId="CommentSubject">
    <w:name w:val="annotation subject"/>
    <w:basedOn w:val="CommentText"/>
    <w:next w:val="CommentText"/>
    <w:link w:val="CommentSubjectChar"/>
    <w:uiPriority w:val="99"/>
    <w:semiHidden/>
    <w:unhideWhenUsed/>
    <w:rsid w:val="00C50410"/>
    <w:rPr>
      <w:b/>
      <w:bCs/>
    </w:rPr>
  </w:style>
  <w:style w:type="character" w:customStyle="1" w:styleId="CommentSubjectChar">
    <w:name w:val="Comment Subject Char"/>
    <w:basedOn w:val="CommentTextChar"/>
    <w:link w:val="CommentSubject"/>
    <w:uiPriority w:val="99"/>
    <w:semiHidden/>
    <w:rsid w:val="00C50410"/>
    <w:rPr>
      <w:b/>
      <w:bCs/>
      <w:sz w:val="20"/>
      <w:szCs w:val="20"/>
    </w:rPr>
  </w:style>
  <w:style w:type="character" w:styleId="Hyperlink">
    <w:name w:val="Hyperlink"/>
    <w:basedOn w:val="DefaultParagraphFont"/>
    <w:uiPriority w:val="99"/>
    <w:rsid w:val="00997DA2"/>
    <w:rPr>
      <w:rFonts w:cs="Times New Roman"/>
      <w:color w:val="0000FF"/>
      <w:u w:val="single"/>
    </w:rPr>
  </w:style>
  <w:style w:type="character" w:styleId="Strong">
    <w:name w:val="Strong"/>
    <w:basedOn w:val="DefaultParagraphFont"/>
    <w:uiPriority w:val="22"/>
    <w:qFormat/>
    <w:rsid w:val="00A56362"/>
    <w:rPr>
      <w:b/>
      <w:bCs/>
    </w:rPr>
  </w:style>
  <w:style w:type="paragraph" w:styleId="Revision">
    <w:name w:val="Revision"/>
    <w:hidden/>
    <w:uiPriority w:val="99"/>
    <w:semiHidden/>
    <w:rsid w:val="00E30E36"/>
    <w:pPr>
      <w:spacing w:after="0" w:line="240" w:lineRule="auto"/>
    </w:pPr>
  </w:style>
  <w:style w:type="character" w:styleId="FollowedHyperlink">
    <w:name w:val="FollowedHyperlink"/>
    <w:basedOn w:val="DefaultParagraphFont"/>
    <w:uiPriority w:val="99"/>
    <w:semiHidden/>
    <w:unhideWhenUsed/>
    <w:rsid w:val="00164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39570">
      <w:bodyDiv w:val="1"/>
      <w:marLeft w:val="0"/>
      <w:marRight w:val="0"/>
      <w:marTop w:val="0"/>
      <w:marBottom w:val="0"/>
      <w:divBdr>
        <w:top w:val="none" w:sz="0" w:space="0" w:color="auto"/>
        <w:left w:val="none" w:sz="0" w:space="0" w:color="auto"/>
        <w:bottom w:val="none" w:sz="0" w:space="0" w:color="auto"/>
        <w:right w:val="none" w:sz="0" w:space="0" w:color="auto"/>
      </w:divBdr>
    </w:div>
    <w:div w:id="107670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gov.uk/pupil-premium-information-for-schools-and-alternative-provision-settings" TargetMode="External"/><Relationship Id="rId20" Type="http://schemas.openxmlformats.org/officeDocument/2006/relationships/hyperlink" Target="http://www.theguardian.com/education/2015/jan/25/majority-uk-most-influential-independent-school-survey-debretts-500"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gov.uk/government/speeches/gcse-and-a-level-reform" TargetMode="External"/><Relationship Id="rId11" Type="http://schemas.openxmlformats.org/officeDocument/2006/relationships/hyperlink" Target="file:///C:\Users\Outhwaite%20Family\AppData\Local\Microsoft\Windows\INetCache\IE\J6OGH7BI\www.hmc.org.uk" TargetMode="External"/><Relationship Id="rId12" Type="http://schemas.openxmlformats.org/officeDocument/2006/relationships/hyperlink" Target="file:///C:\Users\Outhwaite%20Family\AppData\Local\Microsoft\Windows\INetCache\IE\IHND1008\www.hmc.org.uk" TargetMode="External"/><Relationship Id="rId13" Type="http://schemas.openxmlformats.org/officeDocument/2006/relationships/hyperlink" Target="http://www.impington.cambs.sch.uk/" TargetMode="External"/><Relationship Id="rId14" Type="http://schemas.openxmlformats.org/officeDocument/2006/relationships/hyperlink" Target="http://www.ibo.org.uk/" TargetMode="External"/><Relationship Id="rId15" Type="http://schemas.openxmlformats.org/officeDocument/2006/relationships/hyperlink" Target="http://www.jrf.org.uk/system/files/poorer-children-education-full.pdf" TargetMode="External"/><Relationship Id="rId16" Type="http://schemas.openxmlformats.org/officeDocument/2006/relationships/hyperlink" Target="http://webarchive.nationalarchives.gov.uk/+/http:/www.cabinetoffice.gov.uk/media/227102/fair-access.pdf" TargetMode="External"/><Relationship Id="rId17" Type="http://schemas.openxmlformats.org/officeDocument/2006/relationships/hyperlink" Target="https://www.gov.uk/government/uploads/system/uploads/attachment_data/file/80188/Higher-Education.pdf" TargetMode="External"/><Relationship Id="rId18" Type="http://schemas.openxmlformats.org/officeDocument/2006/relationships/hyperlink" Target="https://www.gov.uk/government/uploads/system/uploads/attachment_data/file/485926/State_of_the_nation_2015__social_mobility_and_child_poverty_in_Great_Britain.pdf" TargetMode="External"/><Relationship Id="rId19" Type="http://schemas.openxmlformats.org/officeDocument/2006/relationships/hyperlink" Target="https://www.gov.uk/government/uploads/system/uploads/attachment_data/file/496103/Social_Mobility_Index.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best-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64A8E-AF6A-2542-A1B1-B58905A7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7922</Words>
  <Characters>45160</Characters>
  <Application>Microsoft Macintosh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2017-06-30T19:43:00Z</dcterms:created>
  <dcterms:modified xsi:type="dcterms:W3CDTF">2017-06-30T19:43:00Z</dcterms:modified>
</cp:coreProperties>
</file>