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C9536" w14:textId="4F9A6E24" w:rsidR="00AD392C" w:rsidRPr="00615171" w:rsidRDefault="009D1036" w:rsidP="009D1036">
      <w:pPr>
        <w:autoSpaceDE w:val="0"/>
        <w:autoSpaceDN w:val="0"/>
        <w:adjustRightInd w:val="0"/>
        <w:spacing w:after="0" w:line="240" w:lineRule="auto"/>
        <w:jc w:val="center"/>
        <w:rPr>
          <w:rFonts w:asciiTheme="majorBidi" w:eastAsia="Times New Roman" w:hAnsiTheme="majorBidi" w:cstheme="majorBidi"/>
          <w:b/>
          <w:color w:val="000000" w:themeColor="text1"/>
          <w:sz w:val="24"/>
          <w:szCs w:val="24"/>
        </w:rPr>
      </w:pPr>
      <w:r>
        <w:rPr>
          <w:rFonts w:asciiTheme="majorBidi" w:eastAsia="Times New Roman" w:hAnsiTheme="majorBidi" w:cstheme="majorBidi"/>
          <w:b/>
          <w:color w:val="000000" w:themeColor="text1"/>
          <w:sz w:val="24"/>
          <w:szCs w:val="24"/>
        </w:rPr>
        <w:t xml:space="preserve">Accepted </w:t>
      </w:r>
      <w:bookmarkStart w:id="0" w:name="_GoBack"/>
      <w:bookmarkEnd w:id="0"/>
      <w:r w:rsidR="00AD392C" w:rsidRPr="00615171">
        <w:rPr>
          <w:rFonts w:asciiTheme="majorBidi" w:eastAsia="Times New Roman" w:hAnsiTheme="majorBidi" w:cstheme="majorBidi"/>
          <w:b/>
          <w:color w:val="000000" w:themeColor="text1"/>
          <w:sz w:val="24"/>
          <w:szCs w:val="24"/>
        </w:rPr>
        <w:t>Manuscript</w:t>
      </w:r>
    </w:p>
    <w:p w14:paraId="5174DE61" w14:textId="2CE4886E" w:rsidR="00AD392C" w:rsidRPr="00615171" w:rsidRDefault="00AD392C" w:rsidP="00615171">
      <w:pPr>
        <w:autoSpaceDE w:val="0"/>
        <w:autoSpaceDN w:val="0"/>
        <w:adjustRightInd w:val="0"/>
        <w:spacing w:after="0" w:line="240" w:lineRule="auto"/>
        <w:jc w:val="right"/>
        <w:rPr>
          <w:rFonts w:asciiTheme="majorBidi" w:eastAsia="Times New Roman" w:hAnsiTheme="majorBidi" w:cstheme="majorBidi"/>
          <w:b/>
          <w:color w:val="000000" w:themeColor="text1"/>
          <w:sz w:val="24"/>
          <w:szCs w:val="24"/>
        </w:rPr>
      </w:pPr>
      <w:r w:rsidRPr="00615171">
        <w:rPr>
          <w:rFonts w:asciiTheme="majorBidi" w:eastAsia="Times New Roman" w:hAnsiTheme="majorBidi" w:cstheme="majorBidi"/>
          <w:b/>
          <w:color w:val="000000" w:themeColor="text1"/>
          <w:sz w:val="24"/>
          <w:szCs w:val="24"/>
        </w:rPr>
        <w:t xml:space="preserve">Dated: </w:t>
      </w:r>
      <w:r w:rsidR="00615171">
        <w:rPr>
          <w:rFonts w:asciiTheme="majorBidi" w:eastAsia="Times New Roman" w:hAnsiTheme="majorBidi" w:cstheme="majorBidi"/>
          <w:b/>
          <w:color w:val="000000" w:themeColor="text1"/>
          <w:sz w:val="24"/>
          <w:szCs w:val="24"/>
        </w:rPr>
        <w:t>01</w:t>
      </w:r>
      <w:r w:rsidRPr="00615171">
        <w:rPr>
          <w:rFonts w:asciiTheme="majorBidi" w:eastAsia="Times New Roman" w:hAnsiTheme="majorBidi" w:cstheme="majorBidi"/>
          <w:b/>
          <w:color w:val="000000" w:themeColor="text1"/>
          <w:sz w:val="24"/>
          <w:szCs w:val="24"/>
        </w:rPr>
        <w:t xml:space="preserve"> </w:t>
      </w:r>
      <w:r w:rsidR="00615171">
        <w:rPr>
          <w:rFonts w:asciiTheme="majorBidi" w:eastAsia="Times New Roman" w:hAnsiTheme="majorBidi" w:cstheme="majorBidi"/>
          <w:b/>
          <w:color w:val="000000" w:themeColor="text1"/>
          <w:sz w:val="24"/>
          <w:szCs w:val="24"/>
        </w:rPr>
        <w:t xml:space="preserve">September </w:t>
      </w:r>
      <w:r w:rsidRPr="00615171">
        <w:rPr>
          <w:rFonts w:asciiTheme="majorBidi" w:eastAsia="Times New Roman" w:hAnsiTheme="majorBidi" w:cstheme="majorBidi"/>
          <w:b/>
          <w:color w:val="000000" w:themeColor="text1"/>
          <w:sz w:val="24"/>
          <w:szCs w:val="24"/>
        </w:rPr>
        <w:t>2015</w:t>
      </w:r>
    </w:p>
    <w:p w14:paraId="73325358" w14:textId="77777777" w:rsidR="00AD392C" w:rsidRDefault="00AD392C" w:rsidP="00615171">
      <w:pPr>
        <w:autoSpaceDE w:val="0"/>
        <w:autoSpaceDN w:val="0"/>
        <w:adjustRightInd w:val="0"/>
        <w:spacing w:after="0" w:line="240" w:lineRule="auto"/>
        <w:jc w:val="right"/>
        <w:rPr>
          <w:rFonts w:asciiTheme="majorBidi" w:eastAsia="Times New Roman" w:hAnsiTheme="majorBidi" w:cstheme="majorBidi"/>
          <w:b/>
          <w:color w:val="000000" w:themeColor="text1"/>
          <w:sz w:val="24"/>
          <w:szCs w:val="24"/>
        </w:rPr>
      </w:pPr>
    </w:p>
    <w:p w14:paraId="65CFF929" w14:textId="77777777" w:rsidR="00BC5C33" w:rsidRPr="00615171" w:rsidRDefault="00BC5C33" w:rsidP="00615171">
      <w:pPr>
        <w:autoSpaceDE w:val="0"/>
        <w:autoSpaceDN w:val="0"/>
        <w:adjustRightInd w:val="0"/>
        <w:spacing w:after="0" w:line="240" w:lineRule="auto"/>
        <w:jc w:val="right"/>
        <w:rPr>
          <w:rFonts w:asciiTheme="majorBidi" w:eastAsia="Times New Roman" w:hAnsiTheme="majorBidi" w:cstheme="majorBidi"/>
          <w:b/>
          <w:color w:val="000000" w:themeColor="text1"/>
          <w:sz w:val="24"/>
          <w:szCs w:val="24"/>
        </w:rPr>
      </w:pPr>
    </w:p>
    <w:p w14:paraId="07F11D8C" w14:textId="377B5D47" w:rsidR="00414DAE" w:rsidRPr="00615171" w:rsidRDefault="00AF01E1" w:rsidP="0074060A">
      <w:pPr>
        <w:autoSpaceDE w:val="0"/>
        <w:autoSpaceDN w:val="0"/>
        <w:adjustRightInd w:val="0"/>
        <w:spacing w:after="0" w:line="240" w:lineRule="auto"/>
        <w:rPr>
          <w:rFonts w:asciiTheme="majorBidi" w:eastAsia="Times New Roman" w:hAnsiTheme="majorBidi" w:cstheme="majorBidi"/>
          <w:b/>
          <w:color w:val="000000" w:themeColor="text1"/>
          <w:sz w:val="24"/>
          <w:szCs w:val="24"/>
        </w:rPr>
      </w:pPr>
      <w:hyperlink r:id="rId8" w:history="1"/>
      <w:r w:rsidR="00414DAE" w:rsidRPr="00615171">
        <w:rPr>
          <w:rFonts w:asciiTheme="majorBidi" w:eastAsia="Times New Roman" w:hAnsiTheme="majorBidi" w:cstheme="majorBidi"/>
          <w:b/>
          <w:color w:val="000000" w:themeColor="text1"/>
          <w:sz w:val="24"/>
          <w:szCs w:val="24"/>
        </w:rPr>
        <w:t>Correlates of Socioeconomic Status and the Health of Older People in the U</w:t>
      </w:r>
      <w:r w:rsidR="00C226A2" w:rsidRPr="00615171">
        <w:rPr>
          <w:rFonts w:asciiTheme="majorBidi" w:eastAsia="Times New Roman" w:hAnsiTheme="majorBidi" w:cstheme="majorBidi"/>
          <w:b/>
          <w:color w:val="000000" w:themeColor="text1"/>
          <w:sz w:val="24"/>
          <w:szCs w:val="24"/>
        </w:rPr>
        <w:t xml:space="preserve">nited </w:t>
      </w:r>
      <w:r w:rsidR="00414DAE" w:rsidRPr="00615171">
        <w:rPr>
          <w:rFonts w:asciiTheme="majorBidi" w:eastAsia="Times New Roman" w:hAnsiTheme="majorBidi" w:cstheme="majorBidi"/>
          <w:b/>
          <w:color w:val="000000" w:themeColor="text1"/>
          <w:sz w:val="24"/>
          <w:szCs w:val="24"/>
        </w:rPr>
        <w:t>K</w:t>
      </w:r>
      <w:r w:rsidR="00C226A2" w:rsidRPr="00615171">
        <w:rPr>
          <w:rFonts w:asciiTheme="majorBidi" w:eastAsia="Times New Roman" w:hAnsiTheme="majorBidi" w:cstheme="majorBidi"/>
          <w:b/>
          <w:color w:val="000000" w:themeColor="text1"/>
          <w:sz w:val="24"/>
          <w:szCs w:val="24"/>
        </w:rPr>
        <w:t>ingdom</w:t>
      </w:r>
      <w:r w:rsidR="00414DAE" w:rsidRPr="00615171">
        <w:rPr>
          <w:rFonts w:asciiTheme="majorBidi" w:eastAsia="Times New Roman" w:hAnsiTheme="majorBidi" w:cstheme="majorBidi"/>
          <w:b/>
          <w:color w:val="000000" w:themeColor="text1"/>
          <w:sz w:val="24"/>
          <w:szCs w:val="24"/>
        </w:rPr>
        <w:t>: A Review</w:t>
      </w:r>
    </w:p>
    <w:p w14:paraId="0277FF59" w14:textId="77777777" w:rsidR="00414DAE" w:rsidRPr="00615171" w:rsidRDefault="00414DAE" w:rsidP="0074060A">
      <w:pPr>
        <w:autoSpaceDE w:val="0"/>
        <w:autoSpaceDN w:val="0"/>
        <w:adjustRightInd w:val="0"/>
        <w:spacing w:after="0" w:line="240" w:lineRule="auto"/>
        <w:rPr>
          <w:rFonts w:asciiTheme="majorBidi" w:eastAsia="Times New Roman" w:hAnsiTheme="majorBidi" w:cstheme="majorBidi"/>
          <w:color w:val="000000" w:themeColor="text1"/>
          <w:sz w:val="24"/>
          <w:szCs w:val="24"/>
        </w:rPr>
      </w:pPr>
    </w:p>
    <w:p w14:paraId="20FF60E1" w14:textId="77777777" w:rsidR="001F6693" w:rsidRPr="00615171" w:rsidRDefault="001F6693" w:rsidP="001F6693">
      <w:pPr>
        <w:rPr>
          <w:rFonts w:asciiTheme="majorBidi" w:hAnsiTheme="majorBidi" w:cstheme="majorBidi"/>
          <w:color w:val="000000" w:themeColor="text1"/>
          <w:sz w:val="24"/>
          <w:szCs w:val="24"/>
        </w:rPr>
      </w:pPr>
    </w:p>
    <w:p w14:paraId="0034491F"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M. </w:t>
      </w:r>
      <w:proofErr w:type="spellStart"/>
      <w:r w:rsidRPr="00615171">
        <w:rPr>
          <w:rFonts w:asciiTheme="majorBidi" w:hAnsiTheme="majorBidi" w:cstheme="majorBidi"/>
          <w:color w:val="000000" w:themeColor="text1"/>
          <w:sz w:val="24"/>
          <w:szCs w:val="24"/>
        </w:rPr>
        <w:t>Mijan</w:t>
      </w:r>
      <w:proofErr w:type="spellEnd"/>
      <w:r w:rsidRPr="00615171">
        <w:rPr>
          <w:rFonts w:asciiTheme="majorBidi" w:hAnsiTheme="majorBidi" w:cstheme="majorBidi"/>
          <w:color w:val="000000" w:themeColor="text1"/>
          <w:sz w:val="24"/>
          <w:szCs w:val="24"/>
        </w:rPr>
        <w:t xml:space="preserve"> Rahman, MSc</w:t>
      </w:r>
    </w:p>
    <w:p w14:paraId="70E5D245"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Assistant Professor in Statistics </w:t>
      </w:r>
    </w:p>
    <w:p w14:paraId="3BC0A11F"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Department of Statistics</w:t>
      </w:r>
    </w:p>
    <w:p w14:paraId="67F1F44E" w14:textId="77777777" w:rsidR="001F6693" w:rsidRPr="00615171" w:rsidRDefault="001F6693" w:rsidP="00615171">
      <w:pPr>
        <w:spacing w:after="0" w:line="240" w:lineRule="auto"/>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Comilla</w:t>
      </w:r>
      <w:proofErr w:type="spellEnd"/>
      <w:r w:rsidRPr="00615171">
        <w:rPr>
          <w:rFonts w:asciiTheme="majorBidi" w:hAnsiTheme="majorBidi" w:cstheme="majorBidi"/>
          <w:color w:val="000000" w:themeColor="text1"/>
          <w:sz w:val="24"/>
          <w:szCs w:val="24"/>
        </w:rPr>
        <w:t xml:space="preserve"> University</w:t>
      </w:r>
    </w:p>
    <w:p w14:paraId="48365091" w14:textId="77777777" w:rsidR="001F6693" w:rsidRPr="00615171" w:rsidRDefault="001F6693" w:rsidP="00615171">
      <w:pPr>
        <w:spacing w:after="0" w:line="240" w:lineRule="auto"/>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Kotbari</w:t>
      </w:r>
      <w:proofErr w:type="spellEnd"/>
      <w:r w:rsidRPr="00615171">
        <w:rPr>
          <w:rFonts w:asciiTheme="majorBidi" w:hAnsiTheme="majorBidi" w:cstheme="majorBidi"/>
          <w:color w:val="000000" w:themeColor="text1"/>
          <w:sz w:val="24"/>
          <w:szCs w:val="24"/>
        </w:rPr>
        <w:t xml:space="preserve">, </w:t>
      </w:r>
      <w:proofErr w:type="spellStart"/>
      <w:r w:rsidRPr="00615171">
        <w:rPr>
          <w:rFonts w:asciiTheme="majorBidi" w:hAnsiTheme="majorBidi" w:cstheme="majorBidi"/>
          <w:color w:val="000000" w:themeColor="text1"/>
          <w:sz w:val="24"/>
          <w:szCs w:val="24"/>
        </w:rPr>
        <w:t>Comilla</w:t>
      </w:r>
      <w:proofErr w:type="spellEnd"/>
    </w:p>
    <w:p w14:paraId="66BDAAA8"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Bangladesh</w:t>
      </w:r>
    </w:p>
    <w:p w14:paraId="1548E306"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Email: mijancoubd@gmail.com</w:t>
      </w:r>
    </w:p>
    <w:p w14:paraId="283A178D" w14:textId="77777777" w:rsidR="001F6693" w:rsidRPr="00615171" w:rsidRDefault="001F6693" w:rsidP="00615171">
      <w:pPr>
        <w:spacing w:after="0" w:line="240" w:lineRule="auto"/>
        <w:rPr>
          <w:rFonts w:asciiTheme="majorBidi" w:hAnsiTheme="majorBidi" w:cstheme="majorBidi"/>
          <w:color w:val="000000" w:themeColor="text1"/>
          <w:sz w:val="24"/>
          <w:szCs w:val="24"/>
        </w:rPr>
      </w:pPr>
    </w:p>
    <w:p w14:paraId="57A642CE"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Hafiz T.A. Khan*, PhD</w:t>
      </w:r>
    </w:p>
    <w:p w14:paraId="205DB6B9"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Senior Lecturer in Applied Statistics </w:t>
      </w:r>
    </w:p>
    <w:p w14:paraId="4637A189"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Department of Criminology and Sociology</w:t>
      </w:r>
    </w:p>
    <w:p w14:paraId="5F3CE5CD"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School of Law</w:t>
      </w:r>
    </w:p>
    <w:p w14:paraId="3E48CBEE"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Middlesex University</w:t>
      </w:r>
    </w:p>
    <w:p w14:paraId="09C436DE"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London NW4 4BT</w:t>
      </w:r>
    </w:p>
    <w:p w14:paraId="4779881D"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United Kingdom</w:t>
      </w:r>
    </w:p>
    <w:p w14:paraId="1C67937C"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Email: h.khan@mdx.ac.uk</w:t>
      </w:r>
    </w:p>
    <w:p w14:paraId="4C91B272" w14:textId="77777777" w:rsidR="001F6693" w:rsidRPr="00615171" w:rsidRDefault="001F6693" w:rsidP="00615171">
      <w:pPr>
        <w:spacing w:after="0" w:line="240" w:lineRule="auto"/>
        <w:rPr>
          <w:rFonts w:asciiTheme="majorBidi" w:hAnsiTheme="majorBidi" w:cstheme="majorBidi"/>
          <w:color w:val="000000" w:themeColor="text1"/>
          <w:sz w:val="24"/>
          <w:szCs w:val="24"/>
        </w:rPr>
      </w:pPr>
    </w:p>
    <w:p w14:paraId="0C779450"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Trish </w:t>
      </w:r>
      <w:proofErr w:type="spellStart"/>
      <w:r w:rsidRPr="00615171">
        <w:rPr>
          <w:rFonts w:asciiTheme="majorBidi" w:hAnsiTheme="majorBidi" w:cstheme="majorBidi"/>
          <w:color w:val="000000" w:themeColor="text1"/>
          <w:sz w:val="24"/>
          <w:szCs w:val="24"/>
        </w:rPr>
        <w:t>Hafford-Letchfield</w:t>
      </w:r>
      <w:proofErr w:type="spellEnd"/>
      <w:r w:rsidRPr="00615171">
        <w:rPr>
          <w:rFonts w:asciiTheme="majorBidi" w:hAnsiTheme="majorBidi" w:cstheme="majorBidi"/>
          <w:color w:val="000000" w:themeColor="text1"/>
          <w:sz w:val="24"/>
          <w:szCs w:val="24"/>
        </w:rPr>
        <w:t xml:space="preserve">, </w:t>
      </w:r>
      <w:proofErr w:type="spellStart"/>
      <w:r w:rsidRPr="00615171">
        <w:rPr>
          <w:rFonts w:asciiTheme="majorBidi" w:hAnsiTheme="majorBidi" w:cstheme="majorBidi"/>
          <w:color w:val="000000" w:themeColor="text1"/>
          <w:sz w:val="24"/>
          <w:szCs w:val="24"/>
        </w:rPr>
        <w:t>EdD</w:t>
      </w:r>
      <w:proofErr w:type="spellEnd"/>
      <w:r w:rsidRPr="00615171">
        <w:rPr>
          <w:rFonts w:asciiTheme="majorBidi" w:hAnsiTheme="majorBidi" w:cstheme="majorBidi"/>
          <w:color w:val="000000" w:themeColor="text1"/>
          <w:sz w:val="24"/>
          <w:szCs w:val="24"/>
        </w:rPr>
        <w:t xml:space="preserve"> </w:t>
      </w:r>
    </w:p>
    <w:p w14:paraId="62816CD2"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Professor of Social Care</w:t>
      </w:r>
    </w:p>
    <w:p w14:paraId="1A389121"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Department of Mental Health, Social Work and Integrative Medicine</w:t>
      </w:r>
    </w:p>
    <w:p w14:paraId="0724547E"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School of Health and Education</w:t>
      </w:r>
    </w:p>
    <w:p w14:paraId="17CA0D6A"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Middlesex University</w:t>
      </w:r>
    </w:p>
    <w:p w14:paraId="3D71525B"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London NW4 4BT</w:t>
      </w:r>
    </w:p>
    <w:p w14:paraId="3F714566"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United Kingdom </w:t>
      </w:r>
    </w:p>
    <w:p w14:paraId="778039CF" w14:textId="77777777" w:rsidR="001F6693" w:rsidRPr="00615171" w:rsidRDefault="001F6693" w:rsidP="00615171">
      <w:pPr>
        <w:spacing w:after="0" w:line="240" w:lineRule="auto"/>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Email: P.Hafford-Letchfield@mdx.ac.uk</w:t>
      </w:r>
    </w:p>
    <w:p w14:paraId="2C7D5EB6" w14:textId="77777777" w:rsidR="0074060A" w:rsidRPr="00615171" w:rsidRDefault="0074060A" w:rsidP="00623739">
      <w:pPr>
        <w:autoSpaceDE w:val="0"/>
        <w:autoSpaceDN w:val="0"/>
        <w:adjustRightInd w:val="0"/>
        <w:spacing w:after="0" w:line="240" w:lineRule="auto"/>
        <w:jc w:val="both"/>
        <w:rPr>
          <w:rFonts w:asciiTheme="majorBidi" w:hAnsiTheme="majorBidi" w:cstheme="majorBidi"/>
          <w:bCs/>
          <w:i/>
          <w:iCs/>
          <w:color w:val="000000" w:themeColor="text1"/>
          <w:sz w:val="24"/>
          <w:szCs w:val="24"/>
        </w:rPr>
      </w:pPr>
    </w:p>
    <w:p w14:paraId="6AE7331C" w14:textId="77777777" w:rsidR="005E1BDF" w:rsidRPr="00615171" w:rsidRDefault="005E1BDF" w:rsidP="00623739">
      <w:pPr>
        <w:spacing w:after="0" w:line="240" w:lineRule="auto"/>
        <w:jc w:val="both"/>
        <w:rPr>
          <w:rFonts w:asciiTheme="majorBidi" w:hAnsiTheme="majorBidi" w:cstheme="majorBidi"/>
          <w:b/>
          <w:color w:val="000000" w:themeColor="text1"/>
          <w:sz w:val="24"/>
          <w:szCs w:val="24"/>
        </w:rPr>
      </w:pPr>
    </w:p>
    <w:p w14:paraId="42A0BA80" w14:textId="77777777" w:rsidR="005E1BDF" w:rsidRPr="00615171" w:rsidRDefault="005E1BDF" w:rsidP="00623739">
      <w:pPr>
        <w:spacing w:after="0" w:line="240" w:lineRule="auto"/>
        <w:jc w:val="both"/>
        <w:rPr>
          <w:rFonts w:asciiTheme="majorBidi" w:hAnsiTheme="majorBidi" w:cstheme="majorBidi"/>
          <w:b/>
          <w:color w:val="000000" w:themeColor="text1"/>
          <w:sz w:val="24"/>
          <w:szCs w:val="24"/>
        </w:rPr>
      </w:pPr>
    </w:p>
    <w:p w14:paraId="2B1F879C" w14:textId="77777777" w:rsidR="005E1BDF" w:rsidRPr="00615171" w:rsidRDefault="005E1BDF" w:rsidP="00623739">
      <w:pPr>
        <w:spacing w:after="0" w:line="240" w:lineRule="auto"/>
        <w:jc w:val="both"/>
        <w:rPr>
          <w:rFonts w:asciiTheme="majorBidi" w:hAnsiTheme="majorBidi" w:cstheme="majorBidi"/>
          <w:b/>
          <w:color w:val="000000" w:themeColor="text1"/>
          <w:sz w:val="24"/>
          <w:szCs w:val="24"/>
        </w:rPr>
      </w:pPr>
    </w:p>
    <w:p w14:paraId="7C562367" w14:textId="354E949C" w:rsidR="005E1BDF" w:rsidRPr="00615171" w:rsidRDefault="005E1BDF" w:rsidP="005E1BDF">
      <w:pPr>
        <w:spacing w:after="0" w:line="240" w:lineRule="auto"/>
        <w:jc w:val="both"/>
        <w:rPr>
          <w:rFonts w:asciiTheme="majorBidi" w:hAnsiTheme="majorBidi" w:cstheme="majorBidi"/>
          <w:bCs/>
          <w:i/>
          <w:iCs/>
          <w:color w:val="000000" w:themeColor="text1"/>
          <w:sz w:val="24"/>
          <w:szCs w:val="24"/>
        </w:rPr>
      </w:pPr>
      <w:r w:rsidRPr="00615171">
        <w:rPr>
          <w:rFonts w:asciiTheme="majorBidi" w:hAnsiTheme="majorBidi" w:cstheme="majorBidi"/>
          <w:bCs/>
          <w:i/>
          <w:iCs/>
          <w:color w:val="000000" w:themeColor="text1"/>
          <w:sz w:val="24"/>
          <w:szCs w:val="24"/>
        </w:rPr>
        <w:t>*Visiting Research Fellow</w:t>
      </w:r>
      <w:r w:rsidR="007F0E9E" w:rsidRPr="00615171">
        <w:rPr>
          <w:rFonts w:asciiTheme="majorBidi" w:hAnsiTheme="majorBidi" w:cstheme="majorBidi"/>
          <w:bCs/>
          <w:i/>
          <w:iCs/>
          <w:color w:val="000000" w:themeColor="text1"/>
          <w:sz w:val="24"/>
          <w:szCs w:val="24"/>
        </w:rPr>
        <w:t xml:space="preserve"> in Demography</w:t>
      </w:r>
      <w:r w:rsidRPr="00615171">
        <w:rPr>
          <w:rFonts w:asciiTheme="majorBidi" w:hAnsiTheme="majorBidi" w:cstheme="majorBidi"/>
          <w:bCs/>
          <w:i/>
          <w:iCs/>
          <w:color w:val="000000" w:themeColor="text1"/>
          <w:sz w:val="24"/>
          <w:szCs w:val="24"/>
        </w:rPr>
        <w:t xml:space="preserve">, The Oxford Institute of Population Ageing, University of Oxford, 66 </w:t>
      </w:r>
      <w:proofErr w:type="spellStart"/>
      <w:r w:rsidRPr="00615171">
        <w:rPr>
          <w:rFonts w:asciiTheme="majorBidi" w:hAnsiTheme="majorBidi" w:cstheme="majorBidi"/>
          <w:bCs/>
          <w:i/>
          <w:iCs/>
          <w:color w:val="000000" w:themeColor="text1"/>
          <w:sz w:val="24"/>
          <w:szCs w:val="24"/>
        </w:rPr>
        <w:t>Banbury</w:t>
      </w:r>
      <w:proofErr w:type="spellEnd"/>
      <w:r w:rsidRPr="00615171">
        <w:rPr>
          <w:rFonts w:asciiTheme="majorBidi" w:hAnsiTheme="majorBidi" w:cstheme="majorBidi"/>
          <w:bCs/>
          <w:i/>
          <w:iCs/>
          <w:color w:val="000000" w:themeColor="text1"/>
          <w:sz w:val="24"/>
          <w:szCs w:val="24"/>
        </w:rPr>
        <w:t xml:space="preserve"> Road, Oxford OX2 6PR, </w:t>
      </w:r>
      <w:r w:rsidR="007F0E9E" w:rsidRPr="00615171">
        <w:rPr>
          <w:rFonts w:asciiTheme="majorBidi" w:hAnsiTheme="majorBidi" w:cstheme="majorBidi"/>
          <w:bCs/>
          <w:i/>
          <w:iCs/>
          <w:color w:val="000000" w:themeColor="text1"/>
          <w:sz w:val="24"/>
          <w:szCs w:val="24"/>
        </w:rPr>
        <w:t xml:space="preserve">England, </w:t>
      </w:r>
      <w:r w:rsidRPr="00615171">
        <w:rPr>
          <w:rFonts w:asciiTheme="majorBidi" w:hAnsiTheme="majorBidi" w:cstheme="majorBidi"/>
          <w:bCs/>
          <w:i/>
          <w:iCs/>
          <w:color w:val="000000" w:themeColor="text1"/>
          <w:sz w:val="24"/>
          <w:szCs w:val="24"/>
        </w:rPr>
        <w:t xml:space="preserve">United Kingdom. Email:hafiz.khan@ageing.ox.ac.uk  </w:t>
      </w:r>
    </w:p>
    <w:p w14:paraId="73A22D9B" w14:textId="7F4F45BB" w:rsidR="005E1BDF" w:rsidRPr="00615171" w:rsidRDefault="005E1BDF">
      <w:pPr>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br w:type="page"/>
      </w:r>
    </w:p>
    <w:p w14:paraId="1F3301C9" w14:textId="77777777" w:rsidR="005E1BDF" w:rsidRPr="00615171" w:rsidRDefault="005E1BDF" w:rsidP="00623739">
      <w:pPr>
        <w:spacing w:after="0" w:line="240" w:lineRule="auto"/>
        <w:jc w:val="both"/>
        <w:rPr>
          <w:rFonts w:asciiTheme="majorBidi" w:hAnsiTheme="majorBidi" w:cstheme="majorBidi"/>
          <w:b/>
          <w:color w:val="000000" w:themeColor="text1"/>
          <w:sz w:val="24"/>
          <w:szCs w:val="24"/>
        </w:rPr>
      </w:pPr>
    </w:p>
    <w:p w14:paraId="2FBC8D85" w14:textId="77777777" w:rsidR="005E1BDF" w:rsidRPr="00615171" w:rsidRDefault="005E1BDF" w:rsidP="00623739">
      <w:pPr>
        <w:spacing w:after="0" w:line="240" w:lineRule="auto"/>
        <w:jc w:val="both"/>
        <w:rPr>
          <w:rFonts w:asciiTheme="majorBidi" w:hAnsiTheme="majorBidi" w:cstheme="majorBidi"/>
          <w:b/>
          <w:color w:val="000000" w:themeColor="text1"/>
          <w:sz w:val="24"/>
          <w:szCs w:val="24"/>
        </w:rPr>
      </w:pPr>
    </w:p>
    <w:p w14:paraId="0190FF28" w14:textId="77777777" w:rsidR="007043FF" w:rsidRPr="00615171" w:rsidRDefault="00380FC6" w:rsidP="00623739">
      <w:pPr>
        <w:spacing w:after="0" w:line="240" w:lineRule="auto"/>
        <w:jc w:val="both"/>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t>Abstract</w:t>
      </w:r>
    </w:p>
    <w:p w14:paraId="5C7F88EE" w14:textId="785AD02D" w:rsidR="00412417" w:rsidRPr="00615171" w:rsidRDefault="00412417" w:rsidP="002B0536">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This paper reviews </w:t>
      </w:r>
      <w:r w:rsidR="000F5F64" w:rsidRPr="00615171">
        <w:rPr>
          <w:rFonts w:asciiTheme="majorBidi" w:hAnsiTheme="majorBidi" w:cstheme="majorBidi"/>
          <w:color w:val="000000" w:themeColor="text1"/>
          <w:sz w:val="24"/>
          <w:szCs w:val="24"/>
        </w:rPr>
        <w:t xml:space="preserve">the </w:t>
      </w:r>
      <w:r w:rsidRPr="00615171">
        <w:rPr>
          <w:rFonts w:asciiTheme="majorBidi" w:hAnsiTheme="majorBidi" w:cstheme="majorBidi"/>
          <w:color w:val="000000" w:themeColor="text1"/>
          <w:sz w:val="24"/>
          <w:szCs w:val="24"/>
        </w:rPr>
        <w:t>existing literature</w:t>
      </w:r>
      <w:r w:rsidR="00912BB5" w:rsidRPr="00615171">
        <w:rPr>
          <w:rFonts w:asciiTheme="majorBidi" w:hAnsiTheme="majorBidi" w:cstheme="majorBidi"/>
          <w:color w:val="000000" w:themeColor="text1"/>
          <w:sz w:val="24"/>
          <w:szCs w:val="24"/>
        </w:rPr>
        <w:t xml:space="preserve"> on the association between </w:t>
      </w:r>
      <w:r w:rsidR="000F5F64" w:rsidRPr="00615171">
        <w:rPr>
          <w:rFonts w:asciiTheme="majorBidi" w:hAnsiTheme="majorBidi" w:cstheme="majorBidi"/>
          <w:color w:val="000000" w:themeColor="text1"/>
          <w:sz w:val="24"/>
          <w:szCs w:val="24"/>
        </w:rPr>
        <w:t xml:space="preserve">the </w:t>
      </w:r>
      <w:r w:rsidRPr="00615171">
        <w:rPr>
          <w:rFonts w:asciiTheme="majorBidi" w:hAnsiTheme="majorBidi" w:cstheme="majorBidi"/>
          <w:color w:val="000000" w:themeColor="text1"/>
          <w:sz w:val="24"/>
          <w:szCs w:val="24"/>
        </w:rPr>
        <w:t>socio-economi</w:t>
      </w:r>
      <w:r w:rsidR="00B86DEF" w:rsidRPr="00615171">
        <w:rPr>
          <w:rFonts w:asciiTheme="majorBidi" w:hAnsiTheme="majorBidi" w:cstheme="majorBidi"/>
          <w:color w:val="000000" w:themeColor="text1"/>
          <w:sz w:val="24"/>
          <w:szCs w:val="24"/>
        </w:rPr>
        <w:t xml:space="preserve">c status (SES) and </w:t>
      </w:r>
      <w:r w:rsidR="000F5F64" w:rsidRPr="00615171">
        <w:rPr>
          <w:rFonts w:asciiTheme="majorBidi" w:hAnsiTheme="majorBidi" w:cstheme="majorBidi"/>
          <w:color w:val="000000" w:themeColor="text1"/>
          <w:sz w:val="24"/>
          <w:szCs w:val="24"/>
        </w:rPr>
        <w:t xml:space="preserve">the </w:t>
      </w:r>
      <w:r w:rsidR="00B86DEF" w:rsidRPr="00615171">
        <w:rPr>
          <w:rFonts w:asciiTheme="majorBidi" w:hAnsiTheme="majorBidi" w:cstheme="majorBidi"/>
          <w:color w:val="000000" w:themeColor="text1"/>
          <w:sz w:val="24"/>
          <w:szCs w:val="24"/>
        </w:rPr>
        <w:t>health of</w:t>
      </w:r>
      <w:r w:rsidRPr="00615171">
        <w:rPr>
          <w:rFonts w:asciiTheme="majorBidi" w:hAnsiTheme="majorBidi" w:cstheme="majorBidi"/>
          <w:color w:val="000000" w:themeColor="text1"/>
          <w:sz w:val="24"/>
          <w:szCs w:val="24"/>
        </w:rPr>
        <w:t xml:space="preserve"> </w:t>
      </w:r>
      <w:r w:rsidR="0028726C" w:rsidRPr="00615171">
        <w:rPr>
          <w:rFonts w:asciiTheme="majorBidi" w:hAnsiTheme="majorBidi" w:cstheme="majorBidi"/>
          <w:color w:val="000000" w:themeColor="text1"/>
          <w:sz w:val="24"/>
          <w:szCs w:val="24"/>
        </w:rPr>
        <w:t xml:space="preserve">the </w:t>
      </w:r>
      <w:r w:rsidR="000F5F64" w:rsidRPr="00615171">
        <w:rPr>
          <w:rFonts w:asciiTheme="majorBidi" w:hAnsiTheme="majorBidi" w:cstheme="majorBidi"/>
          <w:color w:val="000000" w:themeColor="text1"/>
          <w:sz w:val="24"/>
          <w:szCs w:val="24"/>
        </w:rPr>
        <w:t>ageing</w:t>
      </w:r>
      <w:r w:rsidR="00734FC9" w:rsidRPr="00615171">
        <w:rPr>
          <w:rFonts w:asciiTheme="majorBidi" w:hAnsiTheme="majorBidi" w:cstheme="majorBidi"/>
          <w:color w:val="000000" w:themeColor="text1"/>
          <w:sz w:val="24"/>
          <w:szCs w:val="24"/>
        </w:rPr>
        <w:t xml:space="preserve"> population</w:t>
      </w:r>
      <w:r w:rsidRPr="00615171">
        <w:rPr>
          <w:rFonts w:asciiTheme="majorBidi" w:hAnsiTheme="majorBidi" w:cstheme="majorBidi"/>
          <w:color w:val="000000" w:themeColor="text1"/>
          <w:sz w:val="24"/>
          <w:szCs w:val="24"/>
        </w:rPr>
        <w:t xml:space="preserve"> in the United Kingdom</w:t>
      </w:r>
      <w:r w:rsidR="00912BB5" w:rsidRPr="00615171">
        <w:rPr>
          <w:rFonts w:asciiTheme="majorBidi" w:hAnsiTheme="majorBidi" w:cstheme="majorBidi"/>
          <w:color w:val="000000" w:themeColor="text1"/>
          <w:sz w:val="24"/>
          <w:szCs w:val="24"/>
        </w:rPr>
        <w:t xml:space="preserve"> (UK)</w:t>
      </w:r>
      <w:r w:rsidR="00BC4AEA" w:rsidRPr="00615171">
        <w:rPr>
          <w:rFonts w:asciiTheme="majorBidi" w:hAnsiTheme="majorBidi" w:cstheme="majorBidi"/>
          <w:color w:val="000000" w:themeColor="text1"/>
          <w:sz w:val="24"/>
          <w:szCs w:val="24"/>
        </w:rPr>
        <w:t xml:space="preserve">. </w:t>
      </w:r>
      <w:r w:rsidR="00030F66" w:rsidRPr="00615171">
        <w:rPr>
          <w:rFonts w:asciiTheme="majorBidi" w:hAnsiTheme="majorBidi" w:cstheme="majorBidi"/>
          <w:color w:val="000000" w:themeColor="text1"/>
          <w:sz w:val="24"/>
          <w:szCs w:val="24"/>
        </w:rPr>
        <w:t>It has been noted that s</w:t>
      </w:r>
      <w:r w:rsidRPr="00615171">
        <w:rPr>
          <w:rFonts w:asciiTheme="majorBidi" w:hAnsiTheme="majorBidi" w:cstheme="majorBidi"/>
          <w:color w:val="000000" w:themeColor="text1"/>
          <w:sz w:val="24"/>
          <w:szCs w:val="24"/>
        </w:rPr>
        <w:t>ocio-economic differentials are more marked across the UK than they are in other developed countries</w:t>
      </w:r>
      <w:r w:rsidR="006706DE" w:rsidRPr="00615171">
        <w:rPr>
          <w:rFonts w:asciiTheme="majorBidi" w:hAnsiTheme="majorBidi" w:cstheme="majorBidi"/>
          <w:color w:val="000000" w:themeColor="text1"/>
          <w:sz w:val="24"/>
          <w:szCs w:val="24"/>
        </w:rPr>
        <w:t>. S</w:t>
      </w:r>
      <w:r w:rsidRPr="00615171">
        <w:rPr>
          <w:rFonts w:asciiTheme="majorBidi" w:hAnsiTheme="majorBidi" w:cstheme="majorBidi"/>
          <w:color w:val="000000" w:themeColor="text1"/>
          <w:sz w:val="24"/>
          <w:szCs w:val="24"/>
        </w:rPr>
        <w:t>ocial class grad</w:t>
      </w:r>
      <w:r w:rsidR="0000540E" w:rsidRPr="00615171">
        <w:rPr>
          <w:rFonts w:asciiTheme="majorBidi" w:hAnsiTheme="majorBidi" w:cstheme="majorBidi"/>
          <w:color w:val="000000" w:themeColor="text1"/>
          <w:sz w:val="24"/>
          <w:szCs w:val="24"/>
        </w:rPr>
        <w:t>ients are significant in health for working age p</w:t>
      </w:r>
      <w:r w:rsidR="002925FF" w:rsidRPr="00615171">
        <w:rPr>
          <w:rFonts w:asciiTheme="majorBidi" w:hAnsiTheme="majorBidi" w:cstheme="majorBidi"/>
          <w:color w:val="000000" w:themeColor="text1"/>
          <w:sz w:val="24"/>
          <w:szCs w:val="24"/>
        </w:rPr>
        <w:t>eople</w:t>
      </w:r>
      <w:r w:rsidR="00FD1170" w:rsidRPr="00615171">
        <w:rPr>
          <w:rFonts w:asciiTheme="majorBidi" w:hAnsiTheme="majorBidi" w:cstheme="majorBidi"/>
          <w:color w:val="000000" w:themeColor="text1"/>
          <w:sz w:val="24"/>
          <w:szCs w:val="24"/>
        </w:rPr>
        <w:t xml:space="preserve"> (up to</w:t>
      </w:r>
      <w:r w:rsidR="00F33F69" w:rsidRPr="00615171">
        <w:rPr>
          <w:rFonts w:asciiTheme="majorBidi" w:hAnsiTheme="majorBidi" w:cstheme="majorBidi"/>
          <w:color w:val="000000" w:themeColor="text1"/>
          <w:sz w:val="24"/>
          <w:szCs w:val="24"/>
        </w:rPr>
        <w:t xml:space="preserve"> </w:t>
      </w:r>
      <w:r w:rsidR="00912BB5" w:rsidRPr="00615171">
        <w:rPr>
          <w:rFonts w:asciiTheme="majorBidi" w:hAnsiTheme="majorBidi" w:cstheme="majorBidi"/>
          <w:color w:val="000000" w:themeColor="text1"/>
          <w:sz w:val="24"/>
          <w:szCs w:val="24"/>
        </w:rPr>
        <w:t xml:space="preserve">age </w:t>
      </w:r>
      <w:r w:rsidR="00F33F69" w:rsidRPr="00615171">
        <w:rPr>
          <w:rFonts w:asciiTheme="majorBidi" w:hAnsiTheme="majorBidi" w:cstheme="majorBidi"/>
          <w:color w:val="000000" w:themeColor="text1"/>
          <w:sz w:val="24"/>
          <w:szCs w:val="24"/>
        </w:rPr>
        <w:t>65)</w:t>
      </w:r>
      <w:r w:rsidR="00BF2FD1" w:rsidRPr="00615171">
        <w:rPr>
          <w:rFonts w:asciiTheme="majorBidi" w:hAnsiTheme="majorBidi" w:cstheme="majorBidi"/>
          <w:color w:val="000000" w:themeColor="text1"/>
          <w:sz w:val="24"/>
          <w:szCs w:val="24"/>
        </w:rPr>
        <w:t>,</w:t>
      </w:r>
      <w:r w:rsidR="0000540E" w:rsidRPr="00615171">
        <w:rPr>
          <w:rFonts w:asciiTheme="majorBidi" w:hAnsiTheme="majorBidi" w:cstheme="majorBidi"/>
          <w:color w:val="000000" w:themeColor="text1"/>
          <w:sz w:val="24"/>
          <w:szCs w:val="24"/>
        </w:rPr>
        <w:t xml:space="preserve"> </w:t>
      </w:r>
      <w:r w:rsidR="006706DE" w:rsidRPr="00615171">
        <w:rPr>
          <w:rFonts w:asciiTheme="majorBidi" w:hAnsiTheme="majorBidi" w:cstheme="majorBidi"/>
          <w:color w:val="000000" w:themeColor="text1"/>
          <w:sz w:val="24"/>
          <w:szCs w:val="24"/>
        </w:rPr>
        <w:t>whereas</w:t>
      </w:r>
      <w:r w:rsidR="0000540E" w:rsidRPr="00615171">
        <w:rPr>
          <w:rFonts w:asciiTheme="majorBidi" w:hAnsiTheme="majorBidi" w:cstheme="majorBidi"/>
          <w:color w:val="000000" w:themeColor="text1"/>
          <w:sz w:val="24"/>
          <w:szCs w:val="24"/>
        </w:rPr>
        <w:t xml:space="preserve"> studies on </w:t>
      </w:r>
      <w:r w:rsidR="0028726C" w:rsidRPr="00615171">
        <w:rPr>
          <w:rFonts w:asciiTheme="majorBidi" w:hAnsiTheme="majorBidi" w:cstheme="majorBidi"/>
          <w:color w:val="000000" w:themeColor="text1"/>
          <w:sz w:val="24"/>
          <w:szCs w:val="24"/>
        </w:rPr>
        <w:t>older</w:t>
      </w:r>
      <w:r w:rsidR="0000540E" w:rsidRPr="00615171">
        <w:rPr>
          <w:rFonts w:asciiTheme="majorBidi" w:hAnsiTheme="majorBidi" w:cstheme="majorBidi"/>
          <w:color w:val="000000" w:themeColor="text1"/>
          <w:sz w:val="24"/>
          <w:szCs w:val="24"/>
        </w:rPr>
        <w:t xml:space="preserve"> population</w:t>
      </w:r>
      <w:r w:rsidR="00FA0E4E" w:rsidRPr="00615171">
        <w:rPr>
          <w:rFonts w:asciiTheme="majorBidi" w:hAnsiTheme="majorBidi" w:cstheme="majorBidi"/>
          <w:color w:val="000000" w:themeColor="text1"/>
          <w:sz w:val="24"/>
          <w:szCs w:val="24"/>
        </w:rPr>
        <w:t>s</w:t>
      </w:r>
      <w:r w:rsidR="0000540E" w:rsidRPr="00615171">
        <w:rPr>
          <w:rFonts w:asciiTheme="majorBidi" w:hAnsiTheme="majorBidi" w:cstheme="majorBidi"/>
          <w:color w:val="000000" w:themeColor="text1"/>
          <w:sz w:val="24"/>
          <w:szCs w:val="24"/>
        </w:rPr>
        <w:t xml:space="preserve"> </w:t>
      </w:r>
      <w:r w:rsidR="00EF26DF" w:rsidRPr="00615171">
        <w:rPr>
          <w:rFonts w:asciiTheme="majorBidi" w:hAnsiTheme="majorBidi" w:cstheme="majorBidi"/>
          <w:color w:val="000000" w:themeColor="text1"/>
          <w:sz w:val="24"/>
          <w:szCs w:val="24"/>
        </w:rPr>
        <w:t>have so far been</w:t>
      </w:r>
      <w:r w:rsidR="00B86DEF" w:rsidRPr="00615171">
        <w:rPr>
          <w:rFonts w:asciiTheme="majorBidi" w:hAnsiTheme="majorBidi" w:cstheme="majorBidi"/>
          <w:color w:val="000000" w:themeColor="text1"/>
          <w:sz w:val="24"/>
          <w:szCs w:val="24"/>
        </w:rPr>
        <w:t xml:space="preserve"> </w:t>
      </w:r>
      <w:r w:rsidR="0000540E" w:rsidRPr="00615171">
        <w:rPr>
          <w:rFonts w:asciiTheme="majorBidi" w:hAnsiTheme="majorBidi" w:cstheme="majorBidi"/>
          <w:color w:val="000000" w:themeColor="text1"/>
          <w:sz w:val="24"/>
          <w:szCs w:val="24"/>
        </w:rPr>
        <w:t>limited</w:t>
      </w:r>
      <w:r w:rsidR="00BF2FD1" w:rsidRPr="00615171">
        <w:rPr>
          <w:rFonts w:asciiTheme="majorBidi" w:hAnsiTheme="majorBidi" w:cstheme="majorBidi"/>
          <w:color w:val="000000" w:themeColor="text1"/>
          <w:sz w:val="24"/>
          <w:szCs w:val="24"/>
        </w:rPr>
        <w:t xml:space="preserve"> </w:t>
      </w:r>
      <w:r w:rsidR="00EF26DF" w:rsidRPr="00615171">
        <w:rPr>
          <w:rFonts w:asciiTheme="majorBidi" w:hAnsiTheme="majorBidi" w:cstheme="majorBidi"/>
          <w:color w:val="000000" w:themeColor="text1"/>
          <w:sz w:val="24"/>
          <w:szCs w:val="24"/>
        </w:rPr>
        <w:t>so as to draw</w:t>
      </w:r>
      <w:r w:rsidR="00BF2FD1" w:rsidRPr="00615171">
        <w:rPr>
          <w:rFonts w:asciiTheme="majorBidi" w:hAnsiTheme="majorBidi" w:cstheme="majorBidi"/>
          <w:color w:val="000000" w:themeColor="text1"/>
          <w:sz w:val="24"/>
          <w:szCs w:val="24"/>
        </w:rPr>
        <w:t xml:space="preserve"> any robust conclusion</w:t>
      </w:r>
      <w:r w:rsidR="006706DE" w:rsidRPr="00615171">
        <w:rPr>
          <w:rFonts w:asciiTheme="majorBidi" w:hAnsiTheme="majorBidi" w:cstheme="majorBidi"/>
          <w:color w:val="000000" w:themeColor="text1"/>
          <w:sz w:val="24"/>
          <w:szCs w:val="24"/>
        </w:rPr>
        <w:t>s</w:t>
      </w:r>
      <w:r w:rsidR="0000540E" w:rsidRPr="00615171">
        <w:rPr>
          <w:rFonts w:asciiTheme="majorBidi" w:hAnsiTheme="majorBidi" w:cstheme="majorBidi"/>
          <w:color w:val="000000" w:themeColor="text1"/>
          <w:sz w:val="24"/>
          <w:szCs w:val="24"/>
        </w:rPr>
        <w:t>.</w:t>
      </w:r>
      <w:r w:rsidR="00F32363" w:rsidRPr="00615171">
        <w:rPr>
          <w:rFonts w:asciiTheme="majorBidi" w:hAnsiTheme="majorBidi" w:cstheme="majorBidi"/>
          <w:color w:val="000000" w:themeColor="text1"/>
          <w:sz w:val="24"/>
          <w:szCs w:val="24"/>
        </w:rPr>
        <w:t xml:space="preserve"> In th</w:t>
      </w:r>
      <w:r w:rsidR="0028726C" w:rsidRPr="00615171">
        <w:rPr>
          <w:rFonts w:asciiTheme="majorBidi" w:hAnsiTheme="majorBidi" w:cstheme="majorBidi"/>
          <w:color w:val="000000" w:themeColor="text1"/>
          <w:sz w:val="24"/>
          <w:szCs w:val="24"/>
        </w:rPr>
        <w:t>is</w:t>
      </w:r>
      <w:r w:rsidR="00F32363" w:rsidRPr="00615171">
        <w:rPr>
          <w:rFonts w:asciiTheme="majorBidi" w:hAnsiTheme="majorBidi" w:cstheme="majorBidi"/>
          <w:color w:val="000000" w:themeColor="text1"/>
          <w:sz w:val="24"/>
          <w:szCs w:val="24"/>
        </w:rPr>
        <w:t xml:space="preserve"> paper, we </w:t>
      </w:r>
      <w:r w:rsidR="00BF2FD1" w:rsidRPr="00615171">
        <w:rPr>
          <w:rFonts w:asciiTheme="majorBidi" w:hAnsiTheme="majorBidi" w:cstheme="majorBidi"/>
          <w:color w:val="000000" w:themeColor="text1"/>
          <w:sz w:val="24"/>
          <w:szCs w:val="24"/>
        </w:rPr>
        <w:t>examine</w:t>
      </w:r>
      <w:r w:rsidR="00F32363" w:rsidRPr="00615171">
        <w:rPr>
          <w:rFonts w:asciiTheme="majorBidi" w:hAnsiTheme="majorBidi" w:cstheme="majorBidi"/>
          <w:color w:val="000000" w:themeColor="text1"/>
          <w:sz w:val="24"/>
          <w:szCs w:val="24"/>
        </w:rPr>
        <w:t xml:space="preserve"> the </w:t>
      </w:r>
      <w:r w:rsidR="005F2D15" w:rsidRPr="00615171">
        <w:rPr>
          <w:rFonts w:asciiTheme="majorBidi" w:hAnsiTheme="majorBidi" w:cstheme="majorBidi"/>
          <w:color w:val="000000" w:themeColor="text1"/>
          <w:sz w:val="24"/>
          <w:szCs w:val="24"/>
        </w:rPr>
        <w:t xml:space="preserve">inequalities </w:t>
      </w:r>
      <w:r w:rsidR="006706DE" w:rsidRPr="00615171">
        <w:rPr>
          <w:rFonts w:asciiTheme="majorBidi" w:hAnsiTheme="majorBidi" w:cstheme="majorBidi"/>
          <w:color w:val="000000" w:themeColor="text1"/>
          <w:sz w:val="24"/>
          <w:szCs w:val="24"/>
        </w:rPr>
        <w:t>through</w:t>
      </w:r>
      <w:r w:rsidR="00F32363" w:rsidRPr="00615171">
        <w:rPr>
          <w:rFonts w:asciiTheme="majorBidi" w:hAnsiTheme="majorBidi" w:cstheme="majorBidi"/>
          <w:color w:val="000000" w:themeColor="text1"/>
          <w:sz w:val="24"/>
          <w:szCs w:val="24"/>
        </w:rPr>
        <w:t xml:space="preserve"> </w:t>
      </w:r>
      <w:r w:rsidR="002B0536" w:rsidRPr="00615171">
        <w:rPr>
          <w:rFonts w:asciiTheme="majorBidi" w:hAnsiTheme="majorBidi" w:cstheme="majorBidi"/>
          <w:color w:val="000000" w:themeColor="text1"/>
          <w:sz w:val="24"/>
          <w:szCs w:val="24"/>
        </w:rPr>
        <w:t xml:space="preserve">selected </w:t>
      </w:r>
      <w:r w:rsidR="00F32363" w:rsidRPr="00615171">
        <w:rPr>
          <w:rFonts w:asciiTheme="majorBidi" w:hAnsiTheme="majorBidi" w:cstheme="majorBidi"/>
          <w:color w:val="000000" w:themeColor="text1"/>
          <w:sz w:val="24"/>
          <w:szCs w:val="24"/>
        </w:rPr>
        <w:t>SES</w:t>
      </w:r>
      <w:r w:rsidR="005F2D15" w:rsidRPr="00615171">
        <w:rPr>
          <w:rFonts w:asciiTheme="majorBidi" w:hAnsiTheme="majorBidi" w:cstheme="majorBidi"/>
          <w:color w:val="000000" w:themeColor="text1"/>
          <w:sz w:val="24"/>
          <w:szCs w:val="24"/>
        </w:rPr>
        <w:t xml:space="preserve"> indicators </w:t>
      </w:r>
      <w:r w:rsidR="00FA0E4E" w:rsidRPr="00615171">
        <w:rPr>
          <w:rFonts w:asciiTheme="majorBidi" w:hAnsiTheme="majorBidi" w:cstheme="majorBidi"/>
          <w:color w:val="000000" w:themeColor="text1"/>
          <w:sz w:val="24"/>
          <w:szCs w:val="24"/>
        </w:rPr>
        <w:t xml:space="preserve">in order to </w:t>
      </w:r>
      <w:r w:rsidR="002B0536" w:rsidRPr="00615171">
        <w:rPr>
          <w:rFonts w:asciiTheme="majorBidi" w:hAnsiTheme="majorBidi" w:cstheme="majorBidi"/>
          <w:color w:val="000000" w:themeColor="text1"/>
          <w:sz w:val="24"/>
          <w:szCs w:val="24"/>
        </w:rPr>
        <w:t>t</w:t>
      </w:r>
      <w:r w:rsidR="00BF2FD1" w:rsidRPr="00615171">
        <w:rPr>
          <w:rFonts w:asciiTheme="majorBidi" w:hAnsiTheme="majorBidi" w:cstheme="majorBidi"/>
          <w:color w:val="000000" w:themeColor="text1"/>
          <w:sz w:val="24"/>
          <w:szCs w:val="24"/>
        </w:rPr>
        <w:t>ease out the effects o</w:t>
      </w:r>
      <w:r w:rsidR="006706DE" w:rsidRPr="00615171">
        <w:rPr>
          <w:rFonts w:asciiTheme="majorBidi" w:hAnsiTheme="majorBidi" w:cstheme="majorBidi"/>
          <w:color w:val="000000" w:themeColor="text1"/>
          <w:sz w:val="24"/>
          <w:szCs w:val="24"/>
        </w:rPr>
        <w:t>n</w:t>
      </w:r>
      <w:r w:rsidR="00BF2FD1" w:rsidRPr="00615171">
        <w:rPr>
          <w:rFonts w:asciiTheme="majorBidi" w:hAnsiTheme="majorBidi" w:cstheme="majorBidi"/>
          <w:color w:val="000000" w:themeColor="text1"/>
          <w:sz w:val="24"/>
          <w:szCs w:val="24"/>
        </w:rPr>
        <w:t xml:space="preserve"> </w:t>
      </w:r>
      <w:r w:rsidR="00734FC9" w:rsidRPr="00615171">
        <w:rPr>
          <w:rFonts w:asciiTheme="majorBidi" w:hAnsiTheme="majorBidi" w:cstheme="majorBidi"/>
          <w:color w:val="000000" w:themeColor="text1"/>
          <w:sz w:val="24"/>
          <w:szCs w:val="24"/>
        </w:rPr>
        <w:t>health outcomes</w:t>
      </w:r>
      <w:r w:rsidR="005F2D15" w:rsidRPr="00615171">
        <w:rPr>
          <w:rFonts w:asciiTheme="majorBidi" w:hAnsiTheme="majorBidi" w:cstheme="majorBidi"/>
          <w:color w:val="000000" w:themeColor="text1"/>
          <w:sz w:val="24"/>
          <w:szCs w:val="24"/>
        </w:rPr>
        <w:t xml:space="preserve"> of</w:t>
      </w:r>
      <w:r w:rsidR="00912BB5" w:rsidRPr="00615171">
        <w:rPr>
          <w:rFonts w:asciiTheme="majorBidi" w:hAnsiTheme="majorBidi" w:cstheme="majorBidi"/>
          <w:color w:val="000000" w:themeColor="text1"/>
          <w:sz w:val="24"/>
          <w:szCs w:val="24"/>
        </w:rPr>
        <w:t xml:space="preserve"> the</w:t>
      </w:r>
      <w:r w:rsidR="005F2D15" w:rsidRPr="00615171">
        <w:rPr>
          <w:rFonts w:asciiTheme="majorBidi" w:hAnsiTheme="majorBidi" w:cstheme="majorBidi"/>
          <w:color w:val="000000" w:themeColor="text1"/>
          <w:sz w:val="24"/>
          <w:szCs w:val="24"/>
        </w:rPr>
        <w:t xml:space="preserve"> </w:t>
      </w:r>
      <w:r w:rsidR="0028726C" w:rsidRPr="00615171">
        <w:rPr>
          <w:rFonts w:asciiTheme="majorBidi" w:hAnsiTheme="majorBidi" w:cstheme="majorBidi"/>
          <w:color w:val="000000" w:themeColor="text1"/>
          <w:sz w:val="24"/>
          <w:szCs w:val="24"/>
        </w:rPr>
        <w:t>older</w:t>
      </w:r>
      <w:r w:rsidR="005F2D15" w:rsidRPr="00615171">
        <w:rPr>
          <w:rFonts w:asciiTheme="majorBidi" w:hAnsiTheme="majorBidi" w:cstheme="majorBidi"/>
          <w:color w:val="000000" w:themeColor="text1"/>
          <w:sz w:val="24"/>
          <w:szCs w:val="24"/>
        </w:rPr>
        <w:t xml:space="preserve"> population. </w:t>
      </w:r>
      <w:r w:rsidR="00FA0E4E" w:rsidRPr="00615171">
        <w:rPr>
          <w:rFonts w:asciiTheme="majorBidi" w:hAnsiTheme="majorBidi" w:cstheme="majorBidi"/>
          <w:color w:val="000000" w:themeColor="text1"/>
          <w:sz w:val="24"/>
          <w:szCs w:val="24"/>
        </w:rPr>
        <w:t>We critically review t</w:t>
      </w:r>
      <w:r w:rsidRPr="00615171">
        <w:rPr>
          <w:rFonts w:asciiTheme="majorBidi" w:hAnsiTheme="majorBidi" w:cstheme="majorBidi"/>
          <w:color w:val="000000" w:themeColor="text1"/>
          <w:sz w:val="24"/>
          <w:szCs w:val="24"/>
        </w:rPr>
        <w:t>he physical and mental health indicators of older people in the UK with regard to their SES differentials.</w:t>
      </w:r>
      <w:r w:rsidR="00EC123F" w:rsidRPr="00615171">
        <w:rPr>
          <w:rFonts w:asciiTheme="majorBidi" w:hAnsiTheme="majorBidi" w:cstheme="majorBidi"/>
          <w:color w:val="000000" w:themeColor="text1"/>
          <w:sz w:val="24"/>
          <w:szCs w:val="24"/>
        </w:rPr>
        <w:t xml:space="preserve"> </w:t>
      </w:r>
      <w:r w:rsidR="0093649E" w:rsidRPr="00615171">
        <w:rPr>
          <w:rFonts w:asciiTheme="majorBidi" w:hAnsiTheme="majorBidi" w:cstheme="majorBidi"/>
          <w:color w:val="000000" w:themeColor="text1"/>
          <w:sz w:val="24"/>
          <w:szCs w:val="24"/>
        </w:rPr>
        <w:t>The findings reveal that</w:t>
      </w:r>
      <w:r w:rsidR="00912BB5" w:rsidRPr="00615171">
        <w:rPr>
          <w:rFonts w:asciiTheme="majorBidi" w:hAnsiTheme="majorBidi" w:cstheme="majorBidi"/>
          <w:color w:val="000000" w:themeColor="text1"/>
          <w:sz w:val="24"/>
          <w:szCs w:val="24"/>
        </w:rPr>
        <w:t xml:space="preserve"> older people</w:t>
      </w:r>
      <w:r w:rsidR="001C53A9" w:rsidRPr="00615171">
        <w:rPr>
          <w:rFonts w:asciiTheme="majorBidi" w:hAnsiTheme="majorBidi" w:cstheme="majorBidi"/>
          <w:color w:val="000000" w:themeColor="text1"/>
          <w:sz w:val="24"/>
          <w:szCs w:val="24"/>
        </w:rPr>
        <w:t xml:space="preserve"> with lower SES are more likely to experience poor</w:t>
      </w:r>
      <w:r w:rsidR="008E611E" w:rsidRPr="00615171">
        <w:rPr>
          <w:rFonts w:asciiTheme="majorBidi" w:hAnsiTheme="majorBidi" w:cstheme="majorBidi"/>
          <w:color w:val="000000" w:themeColor="text1"/>
          <w:sz w:val="24"/>
          <w:szCs w:val="24"/>
        </w:rPr>
        <w:t>er</w:t>
      </w:r>
      <w:r w:rsidR="001C53A9" w:rsidRPr="00615171">
        <w:rPr>
          <w:rFonts w:asciiTheme="majorBidi" w:hAnsiTheme="majorBidi" w:cstheme="majorBidi"/>
          <w:color w:val="000000" w:themeColor="text1"/>
          <w:sz w:val="24"/>
          <w:szCs w:val="24"/>
        </w:rPr>
        <w:t xml:space="preserve"> health outcomes</w:t>
      </w:r>
      <w:r w:rsidR="008E611E" w:rsidRPr="00615171">
        <w:rPr>
          <w:rFonts w:asciiTheme="majorBidi" w:hAnsiTheme="majorBidi" w:cstheme="majorBidi"/>
          <w:color w:val="000000" w:themeColor="text1"/>
          <w:sz w:val="24"/>
          <w:szCs w:val="24"/>
        </w:rPr>
        <w:t xml:space="preserve"> (</w:t>
      </w:r>
      <w:r w:rsidR="001C53A9" w:rsidRPr="00615171">
        <w:rPr>
          <w:rFonts w:asciiTheme="majorBidi" w:hAnsiTheme="majorBidi" w:cstheme="majorBidi"/>
          <w:color w:val="000000" w:themeColor="text1"/>
          <w:sz w:val="24"/>
          <w:szCs w:val="24"/>
        </w:rPr>
        <w:t>for example, long-standing illness or</w:t>
      </w:r>
      <w:r w:rsidR="0015664B" w:rsidRPr="00615171">
        <w:rPr>
          <w:rFonts w:asciiTheme="majorBidi" w:hAnsiTheme="majorBidi" w:cstheme="majorBidi"/>
          <w:color w:val="000000" w:themeColor="text1"/>
          <w:sz w:val="24"/>
          <w:szCs w:val="24"/>
        </w:rPr>
        <w:t xml:space="preserve"> </w:t>
      </w:r>
      <w:r w:rsidR="006706DE" w:rsidRPr="00615171">
        <w:rPr>
          <w:rFonts w:asciiTheme="majorBidi" w:hAnsiTheme="majorBidi" w:cstheme="majorBidi"/>
          <w:color w:val="000000" w:themeColor="text1"/>
          <w:sz w:val="24"/>
          <w:szCs w:val="24"/>
        </w:rPr>
        <w:t>increased disability</w:t>
      </w:r>
      <w:r w:rsidR="0015664B" w:rsidRPr="00615171">
        <w:rPr>
          <w:rFonts w:asciiTheme="majorBidi" w:hAnsiTheme="majorBidi" w:cstheme="majorBidi"/>
          <w:color w:val="000000" w:themeColor="text1"/>
          <w:sz w:val="24"/>
          <w:szCs w:val="24"/>
        </w:rPr>
        <w:t>)</w:t>
      </w:r>
      <w:r w:rsidR="008E611E" w:rsidRPr="00615171">
        <w:rPr>
          <w:rFonts w:asciiTheme="majorBidi" w:hAnsiTheme="majorBidi" w:cstheme="majorBidi"/>
          <w:color w:val="000000" w:themeColor="text1"/>
          <w:sz w:val="24"/>
          <w:szCs w:val="24"/>
        </w:rPr>
        <w:t xml:space="preserve"> </w:t>
      </w:r>
      <w:r w:rsidR="00FA0E4E" w:rsidRPr="00615171">
        <w:rPr>
          <w:rFonts w:asciiTheme="majorBidi" w:hAnsiTheme="majorBidi" w:cstheme="majorBidi"/>
          <w:color w:val="000000" w:themeColor="text1"/>
          <w:sz w:val="24"/>
          <w:szCs w:val="24"/>
        </w:rPr>
        <w:t>and have</w:t>
      </w:r>
      <w:r w:rsidR="0015664B" w:rsidRPr="00615171">
        <w:rPr>
          <w:rFonts w:asciiTheme="majorBidi" w:hAnsiTheme="majorBidi" w:cstheme="majorBidi"/>
          <w:color w:val="000000" w:themeColor="text1"/>
          <w:sz w:val="24"/>
          <w:szCs w:val="24"/>
        </w:rPr>
        <w:t xml:space="preserve"> shorter</w:t>
      </w:r>
      <w:r w:rsidR="00912BB5" w:rsidRPr="00615171">
        <w:rPr>
          <w:rFonts w:asciiTheme="majorBidi" w:hAnsiTheme="majorBidi" w:cstheme="majorBidi"/>
          <w:color w:val="000000" w:themeColor="text1"/>
          <w:sz w:val="24"/>
          <w:szCs w:val="24"/>
        </w:rPr>
        <w:t xml:space="preserve"> </w:t>
      </w:r>
      <w:r w:rsidR="00FA0E4E" w:rsidRPr="00615171">
        <w:rPr>
          <w:rFonts w:asciiTheme="majorBidi" w:hAnsiTheme="majorBidi" w:cstheme="majorBidi"/>
          <w:color w:val="000000" w:themeColor="text1"/>
          <w:sz w:val="24"/>
          <w:szCs w:val="24"/>
        </w:rPr>
        <w:t>life expectancy</w:t>
      </w:r>
      <w:r w:rsidR="0015664B" w:rsidRPr="00615171">
        <w:rPr>
          <w:rFonts w:asciiTheme="majorBidi" w:hAnsiTheme="majorBidi" w:cstheme="majorBidi"/>
          <w:color w:val="000000" w:themeColor="text1"/>
          <w:sz w:val="24"/>
          <w:szCs w:val="24"/>
        </w:rPr>
        <w:t xml:space="preserve"> </w:t>
      </w:r>
      <w:r w:rsidR="001C53A9" w:rsidRPr="00615171">
        <w:rPr>
          <w:rFonts w:asciiTheme="majorBidi" w:hAnsiTheme="majorBidi" w:cstheme="majorBidi"/>
          <w:color w:val="000000" w:themeColor="text1"/>
          <w:sz w:val="24"/>
          <w:szCs w:val="24"/>
        </w:rPr>
        <w:t xml:space="preserve">compared to those of higher SES. </w:t>
      </w:r>
      <w:r w:rsidR="006706DE" w:rsidRPr="00615171">
        <w:rPr>
          <w:rFonts w:asciiTheme="majorBidi" w:hAnsiTheme="majorBidi" w:cstheme="majorBidi"/>
          <w:color w:val="000000" w:themeColor="text1"/>
          <w:sz w:val="24"/>
          <w:szCs w:val="24"/>
        </w:rPr>
        <w:t>We illustrate how e</w:t>
      </w:r>
      <w:r w:rsidR="00262941" w:rsidRPr="00615171">
        <w:rPr>
          <w:rFonts w:asciiTheme="majorBidi" w:hAnsiTheme="majorBidi" w:cstheme="majorBidi"/>
          <w:color w:val="000000" w:themeColor="text1"/>
          <w:sz w:val="24"/>
          <w:szCs w:val="24"/>
        </w:rPr>
        <w:t xml:space="preserve">ducation </w:t>
      </w:r>
      <w:r w:rsidR="006706DE" w:rsidRPr="00615171">
        <w:rPr>
          <w:rFonts w:asciiTheme="majorBidi" w:hAnsiTheme="majorBidi" w:cstheme="majorBidi"/>
          <w:color w:val="000000" w:themeColor="text1"/>
          <w:sz w:val="24"/>
          <w:szCs w:val="24"/>
        </w:rPr>
        <w:t>remains the</w:t>
      </w:r>
      <w:r w:rsidR="00262941" w:rsidRPr="00615171">
        <w:rPr>
          <w:rFonts w:asciiTheme="majorBidi" w:hAnsiTheme="majorBidi" w:cstheme="majorBidi"/>
          <w:color w:val="000000" w:themeColor="text1"/>
          <w:sz w:val="24"/>
          <w:szCs w:val="24"/>
        </w:rPr>
        <w:t xml:space="preserve"> single most important determinant of health inequality</w:t>
      </w:r>
      <w:r w:rsidR="003D5F29" w:rsidRPr="00615171">
        <w:rPr>
          <w:rFonts w:asciiTheme="majorBidi" w:hAnsiTheme="majorBidi" w:cstheme="majorBidi"/>
          <w:color w:val="000000" w:themeColor="text1"/>
          <w:sz w:val="24"/>
          <w:szCs w:val="24"/>
        </w:rPr>
        <w:t xml:space="preserve"> in later life</w:t>
      </w:r>
      <w:r w:rsidR="00262941" w:rsidRPr="00615171">
        <w:rPr>
          <w:rFonts w:asciiTheme="majorBidi" w:hAnsiTheme="majorBidi" w:cstheme="majorBidi"/>
          <w:color w:val="000000" w:themeColor="text1"/>
          <w:sz w:val="24"/>
          <w:szCs w:val="24"/>
        </w:rPr>
        <w:t xml:space="preserve">. </w:t>
      </w:r>
      <w:r w:rsidR="006706DE" w:rsidRPr="00615171">
        <w:rPr>
          <w:rFonts w:asciiTheme="majorBidi" w:hAnsiTheme="majorBidi" w:cstheme="majorBidi"/>
          <w:color w:val="000000" w:themeColor="text1"/>
          <w:sz w:val="24"/>
          <w:szCs w:val="24"/>
        </w:rPr>
        <w:t>We suggest that e</w:t>
      </w:r>
      <w:r w:rsidR="001E3C00" w:rsidRPr="00615171">
        <w:rPr>
          <w:rFonts w:asciiTheme="majorBidi" w:hAnsiTheme="majorBidi" w:cstheme="majorBidi"/>
          <w:color w:val="000000" w:themeColor="text1"/>
          <w:sz w:val="24"/>
          <w:szCs w:val="24"/>
        </w:rPr>
        <w:t>ducation</w:t>
      </w:r>
      <w:r w:rsidR="00F06FD7" w:rsidRPr="00615171">
        <w:rPr>
          <w:rFonts w:asciiTheme="majorBidi" w:hAnsiTheme="majorBidi" w:cstheme="majorBidi"/>
          <w:color w:val="000000" w:themeColor="text1"/>
          <w:sz w:val="24"/>
          <w:szCs w:val="24"/>
        </w:rPr>
        <w:t>al level</w:t>
      </w:r>
      <w:r w:rsidR="001E3C00" w:rsidRPr="00615171">
        <w:rPr>
          <w:rFonts w:asciiTheme="majorBidi" w:hAnsiTheme="majorBidi" w:cstheme="majorBidi"/>
          <w:color w:val="000000" w:themeColor="text1"/>
          <w:sz w:val="24"/>
          <w:szCs w:val="24"/>
        </w:rPr>
        <w:t xml:space="preserve"> </w:t>
      </w:r>
      <w:r w:rsidR="001C53A9" w:rsidRPr="00615171">
        <w:rPr>
          <w:rFonts w:asciiTheme="majorBidi" w:hAnsiTheme="majorBidi" w:cstheme="majorBidi"/>
          <w:color w:val="000000" w:themeColor="text1"/>
          <w:sz w:val="24"/>
          <w:szCs w:val="24"/>
        </w:rPr>
        <w:t>or occupation</w:t>
      </w:r>
      <w:r w:rsidR="0084053D" w:rsidRPr="00615171">
        <w:rPr>
          <w:rFonts w:asciiTheme="majorBidi" w:hAnsiTheme="majorBidi" w:cstheme="majorBidi"/>
          <w:color w:val="000000" w:themeColor="text1"/>
          <w:sz w:val="24"/>
          <w:szCs w:val="24"/>
        </w:rPr>
        <w:t>al</w:t>
      </w:r>
      <w:r w:rsidR="00B86DEF" w:rsidRPr="00615171">
        <w:rPr>
          <w:rFonts w:asciiTheme="majorBidi" w:hAnsiTheme="majorBidi" w:cstheme="majorBidi"/>
          <w:color w:val="000000" w:themeColor="text1"/>
          <w:sz w:val="24"/>
          <w:szCs w:val="24"/>
        </w:rPr>
        <w:t xml:space="preserve"> class</w:t>
      </w:r>
      <w:r w:rsidR="001C53A9" w:rsidRPr="00615171">
        <w:rPr>
          <w:rFonts w:asciiTheme="majorBidi" w:hAnsiTheme="majorBidi" w:cstheme="majorBidi"/>
          <w:color w:val="000000" w:themeColor="text1"/>
          <w:sz w:val="24"/>
          <w:szCs w:val="24"/>
        </w:rPr>
        <w:t xml:space="preserve"> </w:t>
      </w:r>
      <w:r w:rsidR="001E3C00" w:rsidRPr="00615171">
        <w:rPr>
          <w:rFonts w:asciiTheme="majorBidi" w:hAnsiTheme="majorBidi" w:cstheme="majorBidi"/>
          <w:color w:val="000000" w:themeColor="text1"/>
          <w:sz w:val="24"/>
          <w:szCs w:val="24"/>
        </w:rPr>
        <w:t xml:space="preserve">allied with material deprivation </w:t>
      </w:r>
      <w:r w:rsidR="008E611E" w:rsidRPr="00615171">
        <w:rPr>
          <w:rFonts w:asciiTheme="majorBidi" w:hAnsiTheme="majorBidi" w:cstheme="majorBidi"/>
          <w:color w:val="000000" w:themeColor="text1"/>
          <w:sz w:val="24"/>
          <w:szCs w:val="24"/>
        </w:rPr>
        <w:t>offer</w:t>
      </w:r>
      <w:r w:rsidR="00F06FD7" w:rsidRPr="00615171">
        <w:rPr>
          <w:rFonts w:asciiTheme="majorBidi" w:hAnsiTheme="majorBidi" w:cstheme="majorBidi"/>
          <w:color w:val="000000" w:themeColor="text1"/>
          <w:sz w:val="24"/>
          <w:szCs w:val="24"/>
        </w:rPr>
        <w:t xml:space="preserve"> the best </w:t>
      </w:r>
      <w:r w:rsidR="00EF26DF" w:rsidRPr="00615171">
        <w:rPr>
          <w:rFonts w:asciiTheme="majorBidi" w:hAnsiTheme="majorBidi" w:cstheme="majorBidi"/>
          <w:color w:val="000000" w:themeColor="text1"/>
          <w:sz w:val="24"/>
          <w:szCs w:val="24"/>
        </w:rPr>
        <w:t>combined</w:t>
      </w:r>
      <w:r w:rsidR="006706DE" w:rsidRPr="00615171">
        <w:rPr>
          <w:rFonts w:asciiTheme="majorBidi" w:hAnsiTheme="majorBidi" w:cstheme="majorBidi"/>
          <w:color w:val="000000" w:themeColor="text1"/>
          <w:sz w:val="24"/>
          <w:szCs w:val="24"/>
        </w:rPr>
        <w:t xml:space="preserve"> </w:t>
      </w:r>
      <w:r w:rsidR="00734FC9" w:rsidRPr="00615171">
        <w:rPr>
          <w:rFonts w:asciiTheme="majorBidi" w:hAnsiTheme="majorBidi" w:cstheme="majorBidi"/>
          <w:color w:val="000000" w:themeColor="text1"/>
          <w:sz w:val="24"/>
          <w:szCs w:val="24"/>
        </w:rPr>
        <w:t>indicators of SES</w:t>
      </w:r>
      <w:r w:rsidR="001E3C00" w:rsidRPr="00615171">
        <w:rPr>
          <w:rFonts w:asciiTheme="majorBidi" w:hAnsiTheme="majorBidi" w:cstheme="majorBidi"/>
          <w:color w:val="000000" w:themeColor="text1"/>
          <w:sz w:val="24"/>
          <w:szCs w:val="24"/>
        </w:rPr>
        <w:t xml:space="preserve"> for studying health inequalities </w:t>
      </w:r>
      <w:r w:rsidR="008E611E" w:rsidRPr="00615171">
        <w:rPr>
          <w:rFonts w:asciiTheme="majorBidi" w:hAnsiTheme="majorBidi" w:cstheme="majorBidi"/>
          <w:color w:val="000000" w:themeColor="text1"/>
          <w:sz w:val="24"/>
          <w:szCs w:val="24"/>
        </w:rPr>
        <w:t xml:space="preserve">among </w:t>
      </w:r>
      <w:r w:rsidR="001E3C00" w:rsidRPr="00615171">
        <w:rPr>
          <w:rFonts w:asciiTheme="majorBidi" w:hAnsiTheme="majorBidi" w:cstheme="majorBidi"/>
          <w:color w:val="000000" w:themeColor="text1"/>
          <w:sz w:val="24"/>
          <w:szCs w:val="24"/>
        </w:rPr>
        <w:t>older people</w:t>
      </w:r>
      <w:r w:rsidR="00FA5960" w:rsidRPr="00615171">
        <w:rPr>
          <w:rFonts w:asciiTheme="majorBidi" w:hAnsiTheme="majorBidi" w:cstheme="majorBidi"/>
          <w:color w:val="000000" w:themeColor="text1"/>
          <w:sz w:val="24"/>
          <w:szCs w:val="24"/>
        </w:rPr>
        <w:t>.</w:t>
      </w:r>
      <w:r w:rsidR="008541C8" w:rsidRPr="00615171">
        <w:rPr>
          <w:rFonts w:asciiTheme="majorBidi" w:hAnsiTheme="majorBidi" w:cstheme="majorBidi"/>
          <w:color w:val="000000" w:themeColor="text1"/>
          <w:sz w:val="24"/>
          <w:szCs w:val="24"/>
        </w:rPr>
        <w:t xml:space="preserve"> T</w:t>
      </w:r>
      <w:r w:rsidR="009231BD" w:rsidRPr="00615171">
        <w:rPr>
          <w:rFonts w:asciiTheme="majorBidi" w:hAnsiTheme="majorBidi" w:cstheme="majorBidi"/>
          <w:color w:val="000000" w:themeColor="text1"/>
          <w:sz w:val="24"/>
          <w:szCs w:val="24"/>
        </w:rPr>
        <w:t xml:space="preserve">he findings of this </w:t>
      </w:r>
      <w:r w:rsidR="00FA0E4E" w:rsidRPr="00615171">
        <w:rPr>
          <w:rFonts w:asciiTheme="majorBidi" w:hAnsiTheme="majorBidi" w:cstheme="majorBidi"/>
          <w:color w:val="000000" w:themeColor="text1"/>
          <w:sz w:val="24"/>
          <w:szCs w:val="24"/>
        </w:rPr>
        <w:t>paper has</w:t>
      </w:r>
      <w:r w:rsidR="009231BD" w:rsidRPr="00615171">
        <w:rPr>
          <w:rFonts w:asciiTheme="majorBidi" w:hAnsiTheme="majorBidi" w:cstheme="majorBidi"/>
          <w:color w:val="000000" w:themeColor="text1"/>
          <w:sz w:val="24"/>
          <w:szCs w:val="24"/>
        </w:rPr>
        <w:t xml:space="preserve"> profound implications for prioritising policies</w:t>
      </w:r>
      <w:r w:rsidR="00684DDE" w:rsidRPr="00615171">
        <w:rPr>
          <w:rFonts w:asciiTheme="majorBidi" w:hAnsiTheme="majorBidi" w:cstheme="majorBidi"/>
          <w:color w:val="000000" w:themeColor="text1"/>
          <w:sz w:val="24"/>
          <w:szCs w:val="24"/>
        </w:rPr>
        <w:t xml:space="preserve"> </w:t>
      </w:r>
      <w:r w:rsidR="009231BD" w:rsidRPr="00615171">
        <w:rPr>
          <w:rFonts w:asciiTheme="majorBidi" w:hAnsiTheme="majorBidi" w:cstheme="majorBidi"/>
          <w:color w:val="000000" w:themeColor="text1"/>
          <w:sz w:val="24"/>
          <w:szCs w:val="24"/>
        </w:rPr>
        <w:t xml:space="preserve">to improve the health </w:t>
      </w:r>
      <w:r w:rsidR="00262941" w:rsidRPr="00615171">
        <w:rPr>
          <w:rFonts w:asciiTheme="majorBidi" w:hAnsiTheme="majorBidi" w:cstheme="majorBidi"/>
          <w:color w:val="000000" w:themeColor="text1"/>
          <w:sz w:val="24"/>
          <w:szCs w:val="24"/>
        </w:rPr>
        <w:t xml:space="preserve">and wellbeing </w:t>
      </w:r>
      <w:r w:rsidR="009231BD" w:rsidRPr="00615171">
        <w:rPr>
          <w:rFonts w:asciiTheme="majorBidi" w:hAnsiTheme="majorBidi" w:cstheme="majorBidi"/>
          <w:color w:val="000000" w:themeColor="text1"/>
          <w:sz w:val="24"/>
          <w:szCs w:val="24"/>
        </w:rPr>
        <w:t>o</w:t>
      </w:r>
      <w:r w:rsidR="00684DDE" w:rsidRPr="00615171">
        <w:rPr>
          <w:rFonts w:asciiTheme="majorBidi" w:hAnsiTheme="majorBidi" w:cstheme="majorBidi"/>
          <w:color w:val="000000" w:themeColor="text1"/>
          <w:sz w:val="24"/>
          <w:szCs w:val="24"/>
        </w:rPr>
        <w:t>f elderly people with lower SES</w:t>
      </w:r>
      <w:r w:rsidR="000D2AEC" w:rsidRPr="00615171">
        <w:rPr>
          <w:rFonts w:asciiTheme="majorBidi" w:hAnsiTheme="majorBidi" w:cstheme="majorBidi"/>
          <w:color w:val="000000" w:themeColor="text1"/>
          <w:sz w:val="24"/>
          <w:szCs w:val="24"/>
        </w:rPr>
        <w:t xml:space="preserve"> a</w:t>
      </w:r>
      <w:r w:rsidR="00FA0E4E" w:rsidRPr="00615171">
        <w:rPr>
          <w:rFonts w:asciiTheme="majorBidi" w:hAnsiTheme="majorBidi" w:cstheme="majorBidi"/>
          <w:color w:val="000000" w:themeColor="text1"/>
          <w:sz w:val="24"/>
          <w:szCs w:val="24"/>
        </w:rPr>
        <w:t xml:space="preserve">nd go offer an evidence base of how to understand and to develop interventions that </w:t>
      </w:r>
      <w:r w:rsidR="00EF26DF" w:rsidRPr="00615171">
        <w:rPr>
          <w:rFonts w:asciiTheme="majorBidi" w:hAnsiTheme="majorBidi" w:cstheme="majorBidi"/>
          <w:color w:val="000000" w:themeColor="text1"/>
          <w:sz w:val="24"/>
          <w:szCs w:val="24"/>
        </w:rPr>
        <w:t xml:space="preserve"> </w:t>
      </w:r>
      <w:r w:rsidR="000D2AEC" w:rsidRPr="00615171">
        <w:rPr>
          <w:rFonts w:asciiTheme="majorBidi" w:hAnsiTheme="majorBidi" w:cstheme="majorBidi"/>
          <w:color w:val="000000" w:themeColor="text1"/>
          <w:sz w:val="24"/>
          <w:szCs w:val="24"/>
        </w:rPr>
        <w:t>minimise the inequalities in health in later life</w:t>
      </w:r>
      <w:r w:rsidR="00734FC9" w:rsidRPr="00615171">
        <w:rPr>
          <w:rFonts w:asciiTheme="majorBidi" w:hAnsiTheme="majorBidi" w:cstheme="majorBidi"/>
          <w:color w:val="000000" w:themeColor="text1"/>
          <w:sz w:val="24"/>
          <w:szCs w:val="24"/>
        </w:rPr>
        <w:t xml:space="preserve"> in the UK</w:t>
      </w:r>
      <w:r w:rsidR="001D1E1E" w:rsidRPr="00615171">
        <w:rPr>
          <w:rFonts w:asciiTheme="majorBidi" w:hAnsiTheme="majorBidi" w:cstheme="majorBidi"/>
          <w:color w:val="000000" w:themeColor="text1"/>
          <w:sz w:val="24"/>
          <w:szCs w:val="24"/>
        </w:rPr>
        <w:t>.</w:t>
      </w:r>
    </w:p>
    <w:p w14:paraId="0878F4D0" w14:textId="77777777" w:rsidR="00EE016C" w:rsidRPr="00615171" w:rsidRDefault="00EE016C" w:rsidP="00623739">
      <w:pPr>
        <w:spacing w:after="0" w:line="240" w:lineRule="auto"/>
        <w:ind w:firstLine="720"/>
        <w:jc w:val="both"/>
        <w:rPr>
          <w:rFonts w:asciiTheme="majorBidi" w:hAnsiTheme="majorBidi" w:cstheme="majorBidi"/>
          <w:color w:val="000000" w:themeColor="text1"/>
          <w:sz w:val="24"/>
          <w:szCs w:val="24"/>
        </w:rPr>
      </w:pPr>
    </w:p>
    <w:p w14:paraId="534549D6" w14:textId="0F54A988" w:rsidR="00AE09CE" w:rsidRPr="00615171" w:rsidRDefault="00AE09CE" w:rsidP="00623739">
      <w:pPr>
        <w:spacing w:after="0" w:line="240" w:lineRule="auto"/>
        <w:jc w:val="both"/>
        <w:rPr>
          <w:rFonts w:asciiTheme="majorBidi" w:hAnsiTheme="majorBidi" w:cstheme="majorBidi"/>
          <w:color w:val="000000" w:themeColor="text1"/>
          <w:sz w:val="24"/>
          <w:szCs w:val="24"/>
        </w:rPr>
      </w:pPr>
      <w:r w:rsidRPr="00615171">
        <w:rPr>
          <w:rFonts w:asciiTheme="majorBidi" w:hAnsiTheme="majorBidi" w:cstheme="majorBidi"/>
          <w:b/>
          <w:bCs/>
          <w:color w:val="000000" w:themeColor="text1"/>
          <w:sz w:val="24"/>
          <w:szCs w:val="24"/>
        </w:rPr>
        <w:t>Keywords</w:t>
      </w:r>
      <w:r w:rsidRPr="00615171">
        <w:rPr>
          <w:rFonts w:asciiTheme="majorBidi" w:hAnsiTheme="majorBidi" w:cstheme="majorBidi"/>
          <w:color w:val="000000" w:themeColor="text1"/>
          <w:sz w:val="24"/>
          <w:szCs w:val="24"/>
        </w:rPr>
        <w:t xml:space="preserve">: </w:t>
      </w:r>
      <w:r w:rsidR="006F2579" w:rsidRPr="00615171">
        <w:rPr>
          <w:rFonts w:asciiTheme="majorBidi" w:hAnsiTheme="majorBidi" w:cstheme="majorBidi"/>
          <w:color w:val="000000" w:themeColor="text1"/>
          <w:sz w:val="24"/>
          <w:szCs w:val="24"/>
        </w:rPr>
        <w:t xml:space="preserve">Socio-economic </w:t>
      </w:r>
      <w:r w:rsidR="005475AE" w:rsidRPr="00615171">
        <w:rPr>
          <w:rFonts w:asciiTheme="majorBidi" w:hAnsiTheme="majorBidi" w:cstheme="majorBidi"/>
          <w:color w:val="000000" w:themeColor="text1"/>
          <w:sz w:val="24"/>
          <w:szCs w:val="24"/>
        </w:rPr>
        <w:t>s</w:t>
      </w:r>
      <w:r w:rsidR="006F2579" w:rsidRPr="00615171">
        <w:rPr>
          <w:rFonts w:asciiTheme="majorBidi" w:hAnsiTheme="majorBidi" w:cstheme="majorBidi"/>
          <w:color w:val="000000" w:themeColor="text1"/>
          <w:sz w:val="24"/>
          <w:szCs w:val="24"/>
        </w:rPr>
        <w:t>tatus</w:t>
      </w:r>
      <w:r w:rsidR="00361134" w:rsidRPr="00615171">
        <w:rPr>
          <w:rFonts w:asciiTheme="majorBidi" w:hAnsiTheme="majorBidi" w:cstheme="majorBidi"/>
          <w:color w:val="000000" w:themeColor="text1"/>
          <w:sz w:val="24"/>
          <w:szCs w:val="24"/>
        </w:rPr>
        <w:t xml:space="preserve"> (SES)</w:t>
      </w:r>
      <w:r w:rsidRPr="00615171">
        <w:rPr>
          <w:rFonts w:asciiTheme="majorBidi" w:hAnsiTheme="majorBidi" w:cstheme="majorBidi"/>
          <w:color w:val="000000" w:themeColor="text1"/>
          <w:sz w:val="24"/>
          <w:szCs w:val="24"/>
        </w:rPr>
        <w:t xml:space="preserve">, </w:t>
      </w:r>
      <w:r w:rsidR="0080705A" w:rsidRPr="00615171">
        <w:rPr>
          <w:rFonts w:asciiTheme="majorBidi" w:hAnsiTheme="majorBidi" w:cstheme="majorBidi"/>
          <w:color w:val="000000" w:themeColor="text1"/>
          <w:sz w:val="24"/>
          <w:szCs w:val="24"/>
        </w:rPr>
        <w:t xml:space="preserve">illness, </w:t>
      </w:r>
      <w:r w:rsidR="006F2579" w:rsidRPr="00615171">
        <w:rPr>
          <w:rFonts w:asciiTheme="majorBidi" w:hAnsiTheme="majorBidi" w:cstheme="majorBidi"/>
          <w:color w:val="000000" w:themeColor="text1"/>
          <w:sz w:val="24"/>
          <w:szCs w:val="24"/>
        </w:rPr>
        <w:t xml:space="preserve">health indicators, </w:t>
      </w:r>
      <w:r w:rsidR="005475AE" w:rsidRPr="00615171">
        <w:rPr>
          <w:rFonts w:asciiTheme="majorBidi" w:hAnsiTheme="majorBidi" w:cstheme="majorBidi"/>
          <w:color w:val="000000" w:themeColor="text1"/>
          <w:sz w:val="24"/>
          <w:szCs w:val="24"/>
        </w:rPr>
        <w:t xml:space="preserve">older people, </w:t>
      </w:r>
      <w:r w:rsidR="001615F2" w:rsidRPr="00615171">
        <w:rPr>
          <w:rFonts w:asciiTheme="majorBidi" w:hAnsiTheme="majorBidi" w:cstheme="majorBidi"/>
          <w:color w:val="000000" w:themeColor="text1"/>
          <w:sz w:val="24"/>
          <w:szCs w:val="24"/>
        </w:rPr>
        <w:t xml:space="preserve">care, </w:t>
      </w:r>
      <w:r w:rsidR="006F2579" w:rsidRPr="00615171">
        <w:rPr>
          <w:rFonts w:asciiTheme="majorBidi" w:hAnsiTheme="majorBidi" w:cstheme="majorBidi"/>
          <w:color w:val="000000" w:themeColor="text1"/>
          <w:sz w:val="24"/>
          <w:szCs w:val="24"/>
        </w:rPr>
        <w:t>United Kingdom</w:t>
      </w:r>
    </w:p>
    <w:p w14:paraId="242E80EB" w14:textId="77777777" w:rsidR="00380FC6" w:rsidRPr="00615171" w:rsidRDefault="00380FC6" w:rsidP="00623739">
      <w:pPr>
        <w:spacing w:after="0" w:line="240" w:lineRule="auto"/>
        <w:jc w:val="both"/>
        <w:rPr>
          <w:rFonts w:asciiTheme="majorBidi" w:hAnsiTheme="majorBidi" w:cstheme="majorBidi"/>
          <w:b/>
          <w:color w:val="000000" w:themeColor="text1"/>
          <w:sz w:val="24"/>
          <w:szCs w:val="24"/>
        </w:rPr>
      </w:pPr>
    </w:p>
    <w:p w14:paraId="578A1F07" w14:textId="1A191F15" w:rsidR="00CD1972" w:rsidRPr="00615171" w:rsidRDefault="00466BBE" w:rsidP="00003A98">
      <w:pPr>
        <w:spacing w:after="0" w:line="240" w:lineRule="auto"/>
        <w:jc w:val="center"/>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t>INTRODUTION</w:t>
      </w:r>
    </w:p>
    <w:p w14:paraId="68D522B6" w14:textId="77777777" w:rsidR="0015744C" w:rsidRPr="00615171" w:rsidRDefault="0015744C" w:rsidP="00623739">
      <w:pPr>
        <w:spacing w:after="0" w:line="240" w:lineRule="auto"/>
        <w:jc w:val="both"/>
        <w:rPr>
          <w:rFonts w:asciiTheme="majorBidi" w:hAnsiTheme="majorBidi" w:cstheme="majorBidi"/>
          <w:b/>
          <w:color w:val="000000" w:themeColor="text1"/>
          <w:sz w:val="24"/>
          <w:szCs w:val="24"/>
        </w:rPr>
      </w:pPr>
    </w:p>
    <w:p w14:paraId="641212F1" w14:textId="73413FBF" w:rsidR="002D773C" w:rsidRPr="00615171" w:rsidRDefault="00C829B4" w:rsidP="00C226A2">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w:t>
      </w:r>
      <w:r w:rsidR="00B804E5" w:rsidRPr="00615171">
        <w:rPr>
          <w:rFonts w:asciiTheme="majorBidi" w:hAnsiTheme="majorBidi" w:cstheme="majorBidi"/>
          <w:color w:val="000000" w:themeColor="text1"/>
          <w:sz w:val="24"/>
          <w:szCs w:val="24"/>
        </w:rPr>
        <w:t>ocio</w:t>
      </w:r>
      <w:r w:rsidR="00DF048A" w:rsidRPr="00615171">
        <w:rPr>
          <w:rFonts w:asciiTheme="majorBidi" w:hAnsiTheme="majorBidi" w:cstheme="majorBidi"/>
          <w:color w:val="000000" w:themeColor="text1"/>
          <w:sz w:val="24"/>
          <w:szCs w:val="24"/>
        </w:rPr>
        <w:t>-</w:t>
      </w:r>
      <w:r w:rsidR="00B804E5" w:rsidRPr="00615171">
        <w:rPr>
          <w:rFonts w:asciiTheme="majorBidi" w:hAnsiTheme="majorBidi" w:cstheme="majorBidi"/>
          <w:color w:val="000000" w:themeColor="text1"/>
          <w:sz w:val="24"/>
          <w:szCs w:val="24"/>
        </w:rPr>
        <w:t>economic inequa</w:t>
      </w:r>
      <w:r w:rsidR="006D63C0" w:rsidRPr="00615171">
        <w:rPr>
          <w:rFonts w:asciiTheme="majorBidi" w:hAnsiTheme="majorBidi" w:cstheme="majorBidi"/>
          <w:color w:val="000000" w:themeColor="text1"/>
          <w:sz w:val="24"/>
          <w:szCs w:val="24"/>
        </w:rPr>
        <w:t xml:space="preserve">lities in health and mortality </w:t>
      </w:r>
      <w:r w:rsidR="00483F0E" w:rsidRPr="00615171">
        <w:rPr>
          <w:rFonts w:asciiTheme="majorBidi" w:hAnsiTheme="majorBidi" w:cstheme="majorBidi"/>
          <w:color w:val="000000" w:themeColor="text1"/>
          <w:sz w:val="24"/>
          <w:szCs w:val="24"/>
        </w:rPr>
        <w:t>are well documented</w:t>
      </w:r>
      <w:r w:rsidR="00903A6C" w:rsidRPr="00615171">
        <w:rPr>
          <w:rFonts w:asciiTheme="majorBidi" w:hAnsiTheme="majorBidi" w:cstheme="majorBidi"/>
          <w:color w:val="000000" w:themeColor="text1"/>
          <w:sz w:val="24"/>
          <w:szCs w:val="24"/>
        </w:rPr>
        <w:t xml:space="preserve"> </w:t>
      </w:r>
      <w:r w:rsidR="00B804E5" w:rsidRPr="00615171">
        <w:rPr>
          <w:rFonts w:asciiTheme="majorBidi" w:hAnsiTheme="majorBidi" w:cstheme="majorBidi"/>
          <w:color w:val="000000" w:themeColor="text1"/>
          <w:sz w:val="24"/>
          <w:szCs w:val="24"/>
        </w:rPr>
        <w:t xml:space="preserve">in </w:t>
      </w:r>
      <w:r w:rsidR="007E2839" w:rsidRPr="00615171">
        <w:rPr>
          <w:rFonts w:asciiTheme="majorBidi" w:hAnsiTheme="majorBidi" w:cstheme="majorBidi"/>
          <w:color w:val="000000" w:themeColor="text1"/>
          <w:sz w:val="24"/>
          <w:szCs w:val="24"/>
        </w:rPr>
        <w:t xml:space="preserve">many </w:t>
      </w:r>
      <w:r w:rsidR="009D4339" w:rsidRPr="00615171">
        <w:rPr>
          <w:rFonts w:asciiTheme="majorBidi" w:hAnsiTheme="majorBidi" w:cstheme="majorBidi"/>
          <w:color w:val="000000" w:themeColor="text1"/>
          <w:sz w:val="24"/>
          <w:szCs w:val="24"/>
        </w:rPr>
        <w:t>developed countri</w:t>
      </w:r>
      <w:r w:rsidR="00B8632D" w:rsidRPr="00615171">
        <w:rPr>
          <w:rFonts w:asciiTheme="majorBidi" w:hAnsiTheme="majorBidi" w:cstheme="majorBidi"/>
          <w:color w:val="000000" w:themeColor="text1"/>
          <w:sz w:val="24"/>
          <w:szCs w:val="24"/>
        </w:rPr>
        <w:t xml:space="preserve">es </w:t>
      </w:r>
      <w:r w:rsidR="00FA7EDD" w:rsidRPr="00615171">
        <w:rPr>
          <w:rFonts w:asciiTheme="majorBidi" w:hAnsiTheme="majorBidi" w:cstheme="majorBidi"/>
          <w:color w:val="000000" w:themeColor="text1"/>
          <w:sz w:val="24"/>
          <w:szCs w:val="24"/>
        </w:rPr>
        <w:t>(</w:t>
      </w:r>
      <w:proofErr w:type="spellStart"/>
      <w:r w:rsidR="00150314" w:rsidRPr="00615171">
        <w:rPr>
          <w:rFonts w:asciiTheme="majorBidi" w:hAnsiTheme="majorBidi" w:cstheme="majorBidi"/>
          <w:color w:val="000000" w:themeColor="text1"/>
          <w:sz w:val="24"/>
          <w:szCs w:val="24"/>
        </w:rPr>
        <w:t>Exworth</w:t>
      </w:r>
      <w:r w:rsidR="00940098" w:rsidRPr="00615171">
        <w:rPr>
          <w:rFonts w:asciiTheme="majorBidi" w:hAnsiTheme="majorBidi" w:cstheme="majorBidi"/>
          <w:color w:val="000000" w:themeColor="text1"/>
          <w:sz w:val="24"/>
          <w:szCs w:val="24"/>
        </w:rPr>
        <w:t>y</w:t>
      </w:r>
      <w:proofErr w:type="spellEnd"/>
      <w:r w:rsidR="00150314" w:rsidRPr="00615171">
        <w:rPr>
          <w:rFonts w:asciiTheme="majorBidi" w:hAnsiTheme="majorBidi" w:cstheme="majorBidi"/>
          <w:color w:val="000000" w:themeColor="text1"/>
          <w:sz w:val="24"/>
          <w:szCs w:val="24"/>
        </w:rPr>
        <w:t xml:space="preserve"> </w:t>
      </w:r>
      <w:r w:rsidR="002E5F20" w:rsidRPr="00615171">
        <w:rPr>
          <w:rFonts w:asciiTheme="majorBidi" w:hAnsiTheme="majorBidi" w:cstheme="majorBidi"/>
          <w:i/>
          <w:color w:val="000000" w:themeColor="text1"/>
          <w:sz w:val="24"/>
          <w:szCs w:val="24"/>
        </w:rPr>
        <w:t>et al.</w:t>
      </w:r>
      <w:r w:rsidR="00150314" w:rsidRPr="00615171">
        <w:rPr>
          <w:rFonts w:asciiTheme="majorBidi" w:hAnsiTheme="majorBidi" w:cstheme="majorBidi"/>
          <w:color w:val="000000" w:themeColor="text1"/>
          <w:sz w:val="24"/>
          <w:szCs w:val="24"/>
        </w:rPr>
        <w:t xml:space="preserve">, 2003; </w:t>
      </w:r>
      <w:proofErr w:type="spellStart"/>
      <w:r w:rsidR="00DA4588" w:rsidRPr="00615171">
        <w:rPr>
          <w:rFonts w:asciiTheme="majorBidi" w:hAnsiTheme="majorBidi" w:cstheme="majorBidi"/>
          <w:color w:val="000000" w:themeColor="text1"/>
          <w:sz w:val="24"/>
          <w:szCs w:val="24"/>
        </w:rPr>
        <w:t>Jone</w:t>
      </w:r>
      <w:proofErr w:type="spellEnd"/>
      <w:r w:rsidR="00DA4588" w:rsidRPr="00615171">
        <w:rPr>
          <w:rFonts w:asciiTheme="majorBidi" w:hAnsiTheme="majorBidi" w:cstheme="majorBidi"/>
          <w:color w:val="000000" w:themeColor="text1"/>
          <w:sz w:val="24"/>
          <w:szCs w:val="24"/>
        </w:rPr>
        <w:t xml:space="preserve"> and Nicolas, </w:t>
      </w:r>
      <w:r w:rsidR="002710CA" w:rsidRPr="00615171">
        <w:rPr>
          <w:rFonts w:asciiTheme="majorBidi" w:hAnsiTheme="majorBidi" w:cstheme="majorBidi"/>
          <w:color w:val="000000" w:themeColor="text1"/>
          <w:sz w:val="24"/>
          <w:szCs w:val="24"/>
        </w:rPr>
        <w:t>2004; Marmot</w:t>
      </w:r>
      <w:r w:rsidR="002B701F" w:rsidRPr="00615171">
        <w:rPr>
          <w:rFonts w:asciiTheme="majorBidi" w:hAnsiTheme="majorBidi" w:cstheme="majorBidi"/>
          <w:color w:val="000000" w:themeColor="text1"/>
          <w:sz w:val="24"/>
          <w:szCs w:val="24"/>
        </w:rPr>
        <w:t>,</w:t>
      </w:r>
      <w:r w:rsidR="002710CA" w:rsidRPr="00615171">
        <w:rPr>
          <w:rFonts w:asciiTheme="majorBidi" w:hAnsiTheme="majorBidi" w:cstheme="majorBidi"/>
          <w:color w:val="000000" w:themeColor="text1"/>
          <w:sz w:val="24"/>
          <w:szCs w:val="24"/>
        </w:rPr>
        <w:t xml:space="preserve"> 2005; </w:t>
      </w:r>
      <w:proofErr w:type="spellStart"/>
      <w:r w:rsidR="008B2A61" w:rsidRPr="00615171">
        <w:rPr>
          <w:rFonts w:asciiTheme="majorBidi" w:hAnsiTheme="majorBidi" w:cstheme="majorBidi"/>
          <w:color w:val="000000" w:themeColor="text1"/>
          <w:sz w:val="24"/>
          <w:szCs w:val="24"/>
        </w:rPr>
        <w:t>Wilkinsona</w:t>
      </w:r>
      <w:proofErr w:type="spellEnd"/>
      <w:r w:rsidR="008B2A61" w:rsidRPr="00615171">
        <w:rPr>
          <w:rFonts w:asciiTheme="majorBidi" w:hAnsiTheme="majorBidi" w:cstheme="majorBidi"/>
          <w:color w:val="000000" w:themeColor="text1"/>
          <w:sz w:val="24"/>
          <w:szCs w:val="24"/>
        </w:rPr>
        <w:t xml:space="preserve"> and Pickett, 2006; </w:t>
      </w:r>
      <w:r w:rsidR="00FA7EDD" w:rsidRPr="00615171">
        <w:rPr>
          <w:rFonts w:asciiTheme="majorBidi" w:hAnsiTheme="majorBidi" w:cstheme="majorBidi"/>
          <w:color w:val="000000" w:themeColor="text1"/>
          <w:sz w:val="24"/>
          <w:szCs w:val="24"/>
        </w:rPr>
        <w:t>PRB, 2008</w:t>
      </w:r>
      <w:r w:rsidR="00247BD8" w:rsidRPr="00615171">
        <w:rPr>
          <w:rFonts w:asciiTheme="majorBidi" w:hAnsiTheme="majorBidi" w:cstheme="majorBidi"/>
          <w:color w:val="000000" w:themeColor="text1"/>
          <w:sz w:val="24"/>
          <w:szCs w:val="24"/>
        </w:rPr>
        <w:t xml:space="preserve">; </w:t>
      </w:r>
      <w:proofErr w:type="spellStart"/>
      <w:r w:rsidR="00DA4588" w:rsidRPr="00615171">
        <w:rPr>
          <w:rFonts w:asciiTheme="majorBidi" w:hAnsiTheme="majorBidi" w:cstheme="majorBidi"/>
          <w:color w:val="000000" w:themeColor="text1"/>
          <w:sz w:val="24"/>
          <w:szCs w:val="24"/>
        </w:rPr>
        <w:t>Mackenbach</w:t>
      </w:r>
      <w:proofErr w:type="spellEnd"/>
      <w:r w:rsidR="00DA4588" w:rsidRPr="00615171">
        <w:rPr>
          <w:rFonts w:asciiTheme="majorBidi" w:hAnsiTheme="majorBidi" w:cstheme="majorBidi"/>
          <w:color w:val="000000" w:themeColor="text1"/>
          <w:sz w:val="24"/>
          <w:szCs w:val="24"/>
        </w:rPr>
        <w:t xml:space="preserve"> </w:t>
      </w:r>
      <w:r w:rsidR="002E5F20" w:rsidRPr="00615171">
        <w:rPr>
          <w:rFonts w:asciiTheme="majorBidi" w:hAnsiTheme="majorBidi" w:cstheme="majorBidi"/>
          <w:i/>
          <w:color w:val="000000" w:themeColor="text1"/>
          <w:sz w:val="24"/>
          <w:szCs w:val="24"/>
        </w:rPr>
        <w:t>et al.</w:t>
      </w:r>
      <w:r w:rsidR="00DA4588" w:rsidRPr="00615171">
        <w:rPr>
          <w:rFonts w:asciiTheme="majorBidi" w:hAnsiTheme="majorBidi" w:cstheme="majorBidi"/>
          <w:color w:val="000000" w:themeColor="text1"/>
          <w:sz w:val="24"/>
          <w:szCs w:val="24"/>
        </w:rPr>
        <w:t xml:space="preserve">, 2008; </w:t>
      </w:r>
      <w:r w:rsidR="00247BD8" w:rsidRPr="00615171">
        <w:rPr>
          <w:rFonts w:asciiTheme="majorBidi" w:hAnsiTheme="majorBidi" w:cstheme="majorBidi"/>
          <w:color w:val="000000" w:themeColor="text1"/>
          <w:sz w:val="24"/>
          <w:szCs w:val="24"/>
        </w:rPr>
        <w:t xml:space="preserve">Blackman </w:t>
      </w:r>
      <w:r w:rsidR="002E5F20" w:rsidRPr="00615171">
        <w:rPr>
          <w:rFonts w:asciiTheme="majorBidi" w:hAnsiTheme="majorBidi" w:cstheme="majorBidi"/>
          <w:i/>
          <w:color w:val="000000" w:themeColor="text1"/>
          <w:sz w:val="24"/>
          <w:szCs w:val="24"/>
        </w:rPr>
        <w:t>et al.</w:t>
      </w:r>
      <w:r w:rsidR="00247BD8" w:rsidRPr="00615171">
        <w:rPr>
          <w:rFonts w:asciiTheme="majorBidi" w:hAnsiTheme="majorBidi" w:cstheme="majorBidi"/>
          <w:color w:val="000000" w:themeColor="text1"/>
          <w:sz w:val="24"/>
          <w:szCs w:val="24"/>
        </w:rPr>
        <w:t>, 2012</w:t>
      </w:r>
      <w:r w:rsidR="002B701F" w:rsidRPr="00615171">
        <w:rPr>
          <w:rFonts w:asciiTheme="majorBidi" w:hAnsiTheme="majorBidi" w:cstheme="majorBidi"/>
          <w:color w:val="000000" w:themeColor="text1"/>
          <w:sz w:val="24"/>
          <w:szCs w:val="24"/>
        </w:rPr>
        <w:t>; Scottish Parliament</w:t>
      </w:r>
      <w:r w:rsidR="002D03E9" w:rsidRPr="00615171">
        <w:rPr>
          <w:rFonts w:asciiTheme="majorBidi" w:hAnsiTheme="majorBidi" w:cstheme="majorBidi"/>
          <w:color w:val="000000" w:themeColor="text1"/>
          <w:sz w:val="24"/>
          <w:szCs w:val="24"/>
        </w:rPr>
        <w:t>,</w:t>
      </w:r>
      <w:r w:rsidR="002B701F" w:rsidRPr="00615171">
        <w:rPr>
          <w:rFonts w:asciiTheme="majorBidi" w:hAnsiTheme="majorBidi" w:cstheme="majorBidi"/>
          <w:color w:val="000000" w:themeColor="text1"/>
          <w:sz w:val="24"/>
          <w:szCs w:val="24"/>
        </w:rPr>
        <w:t xml:space="preserve"> 2015</w:t>
      </w:r>
      <w:r w:rsidR="00CD0515" w:rsidRPr="00615171">
        <w:rPr>
          <w:rFonts w:asciiTheme="majorBidi" w:hAnsiTheme="majorBidi" w:cstheme="majorBidi"/>
          <w:color w:val="000000" w:themeColor="text1"/>
          <w:sz w:val="24"/>
          <w:szCs w:val="24"/>
        </w:rPr>
        <w:t xml:space="preserve">; Baker </w:t>
      </w:r>
      <w:r w:rsidR="00CD0515" w:rsidRPr="00615171">
        <w:rPr>
          <w:rFonts w:asciiTheme="majorBidi" w:hAnsiTheme="majorBidi" w:cstheme="majorBidi"/>
          <w:i/>
          <w:color w:val="000000" w:themeColor="text1"/>
          <w:sz w:val="24"/>
          <w:szCs w:val="24"/>
        </w:rPr>
        <w:t>et al.</w:t>
      </w:r>
      <w:r w:rsidR="00CD0515" w:rsidRPr="00615171">
        <w:rPr>
          <w:rFonts w:asciiTheme="majorBidi" w:hAnsiTheme="majorBidi" w:cstheme="majorBidi"/>
          <w:color w:val="000000" w:themeColor="text1"/>
          <w:sz w:val="24"/>
          <w:szCs w:val="24"/>
        </w:rPr>
        <w:t>, 2015</w:t>
      </w:r>
      <w:r w:rsidR="00FA7EDD" w:rsidRPr="00615171">
        <w:rPr>
          <w:rFonts w:asciiTheme="majorBidi" w:hAnsiTheme="majorBidi" w:cstheme="majorBidi"/>
          <w:color w:val="000000" w:themeColor="text1"/>
          <w:sz w:val="24"/>
          <w:szCs w:val="24"/>
        </w:rPr>
        <w:t>)</w:t>
      </w:r>
      <w:r w:rsidR="00F370FE" w:rsidRPr="00615171">
        <w:rPr>
          <w:rFonts w:asciiTheme="majorBidi" w:hAnsiTheme="majorBidi" w:cstheme="majorBidi"/>
          <w:color w:val="000000" w:themeColor="text1"/>
          <w:sz w:val="24"/>
          <w:szCs w:val="24"/>
        </w:rPr>
        <w:t xml:space="preserve"> leading to the elaboration and discussion of arrange of conceptual and measurement issues from a range of different disciplines (Jones and Higgs, 2013)</w:t>
      </w:r>
      <w:r w:rsidR="00E82FB3" w:rsidRPr="00615171">
        <w:rPr>
          <w:rFonts w:asciiTheme="majorBidi" w:hAnsiTheme="majorBidi" w:cstheme="majorBidi"/>
          <w:color w:val="000000" w:themeColor="text1"/>
          <w:sz w:val="24"/>
          <w:szCs w:val="24"/>
        </w:rPr>
        <w:t>.</w:t>
      </w:r>
      <w:r w:rsidR="00A502D3" w:rsidRPr="00615171">
        <w:rPr>
          <w:rFonts w:asciiTheme="majorBidi" w:hAnsiTheme="majorBidi" w:cstheme="majorBidi"/>
          <w:color w:val="000000" w:themeColor="text1"/>
          <w:sz w:val="24"/>
          <w:szCs w:val="24"/>
        </w:rPr>
        <w:t xml:space="preserve"> A number </w:t>
      </w:r>
      <w:r w:rsidR="004E7901" w:rsidRPr="00615171">
        <w:rPr>
          <w:rFonts w:asciiTheme="majorBidi" w:hAnsiTheme="majorBidi" w:cstheme="majorBidi"/>
          <w:color w:val="000000" w:themeColor="text1"/>
          <w:sz w:val="24"/>
          <w:szCs w:val="24"/>
        </w:rPr>
        <w:t>of studies</w:t>
      </w:r>
      <w:r w:rsidR="00FB6764" w:rsidRPr="00615171">
        <w:rPr>
          <w:rFonts w:asciiTheme="majorBidi" w:hAnsiTheme="majorBidi" w:cstheme="majorBidi"/>
          <w:color w:val="000000" w:themeColor="text1"/>
          <w:sz w:val="24"/>
          <w:szCs w:val="24"/>
        </w:rPr>
        <w:t xml:space="preserve"> in </w:t>
      </w:r>
      <w:r w:rsidR="00F370FE" w:rsidRPr="00615171">
        <w:rPr>
          <w:rFonts w:asciiTheme="majorBidi" w:hAnsiTheme="majorBidi" w:cstheme="majorBidi"/>
          <w:color w:val="000000" w:themeColor="text1"/>
          <w:sz w:val="24"/>
          <w:szCs w:val="24"/>
        </w:rPr>
        <w:t>developing</w:t>
      </w:r>
      <w:r w:rsidR="009D4339" w:rsidRPr="00615171">
        <w:rPr>
          <w:rFonts w:asciiTheme="majorBidi" w:hAnsiTheme="majorBidi" w:cstheme="majorBidi"/>
          <w:color w:val="000000" w:themeColor="text1"/>
          <w:sz w:val="24"/>
          <w:szCs w:val="24"/>
        </w:rPr>
        <w:t xml:space="preserve"> </w:t>
      </w:r>
      <w:r w:rsidR="00FB6764" w:rsidRPr="00615171">
        <w:rPr>
          <w:rFonts w:asciiTheme="majorBidi" w:hAnsiTheme="majorBidi" w:cstheme="majorBidi"/>
          <w:color w:val="000000" w:themeColor="text1"/>
          <w:sz w:val="24"/>
          <w:szCs w:val="24"/>
        </w:rPr>
        <w:t>countries</w:t>
      </w:r>
      <w:r w:rsidR="00A502D3" w:rsidRPr="00615171">
        <w:rPr>
          <w:rFonts w:asciiTheme="majorBidi" w:hAnsiTheme="majorBidi" w:cstheme="majorBidi"/>
          <w:color w:val="000000" w:themeColor="text1"/>
          <w:sz w:val="24"/>
          <w:szCs w:val="24"/>
        </w:rPr>
        <w:t xml:space="preserve"> have </w:t>
      </w:r>
      <w:r w:rsidR="00894C77" w:rsidRPr="00615171">
        <w:rPr>
          <w:rFonts w:asciiTheme="majorBidi" w:hAnsiTheme="majorBidi" w:cstheme="majorBidi"/>
          <w:color w:val="000000" w:themeColor="text1"/>
          <w:sz w:val="24"/>
          <w:szCs w:val="24"/>
        </w:rPr>
        <w:t xml:space="preserve">consistently </w:t>
      </w:r>
      <w:r w:rsidR="00A502D3" w:rsidRPr="00615171">
        <w:rPr>
          <w:rFonts w:asciiTheme="majorBidi" w:hAnsiTheme="majorBidi" w:cstheme="majorBidi"/>
          <w:color w:val="000000" w:themeColor="text1"/>
          <w:sz w:val="24"/>
          <w:szCs w:val="24"/>
        </w:rPr>
        <w:t>demonstrated that individuals with lower socio</w:t>
      </w:r>
      <w:r w:rsidR="00DF048A" w:rsidRPr="00615171">
        <w:rPr>
          <w:rFonts w:asciiTheme="majorBidi" w:hAnsiTheme="majorBidi" w:cstheme="majorBidi"/>
          <w:color w:val="000000" w:themeColor="text1"/>
          <w:sz w:val="24"/>
          <w:szCs w:val="24"/>
        </w:rPr>
        <w:t>-</w:t>
      </w:r>
      <w:r w:rsidR="00A502D3" w:rsidRPr="00615171">
        <w:rPr>
          <w:rFonts w:asciiTheme="majorBidi" w:hAnsiTheme="majorBidi" w:cstheme="majorBidi"/>
          <w:color w:val="000000" w:themeColor="text1"/>
          <w:sz w:val="24"/>
          <w:szCs w:val="24"/>
        </w:rPr>
        <w:t xml:space="preserve">economic status (SES) are more likely </w:t>
      </w:r>
      <w:r w:rsidR="004E7901" w:rsidRPr="00615171">
        <w:rPr>
          <w:rFonts w:asciiTheme="majorBidi" w:hAnsiTheme="majorBidi" w:cstheme="majorBidi"/>
          <w:color w:val="000000" w:themeColor="text1"/>
          <w:sz w:val="24"/>
          <w:szCs w:val="24"/>
        </w:rPr>
        <w:t xml:space="preserve">to </w:t>
      </w:r>
      <w:r w:rsidR="00A502D3" w:rsidRPr="00615171">
        <w:rPr>
          <w:rFonts w:asciiTheme="majorBidi" w:hAnsiTheme="majorBidi" w:cstheme="majorBidi"/>
          <w:color w:val="000000" w:themeColor="text1"/>
          <w:sz w:val="24"/>
          <w:szCs w:val="24"/>
        </w:rPr>
        <w:t>hav</w:t>
      </w:r>
      <w:r w:rsidR="008A7BFE" w:rsidRPr="00615171">
        <w:rPr>
          <w:rFonts w:asciiTheme="majorBidi" w:hAnsiTheme="majorBidi" w:cstheme="majorBidi"/>
          <w:color w:val="000000" w:themeColor="text1"/>
          <w:sz w:val="24"/>
          <w:szCs w:val="24"/>
        </w:rPr>
        <w:t>e poor</w:t>
      </w:r>
      <w:r w:rsidR="0062005B" w:rsidRPr="00615171">
        <w:rPr>
          <w:rFonts w:asciiTheme="majorBidi" w:hAnsiTheme="majorBidi" w:cstheme="majorBidi"/>
          <w:color w:val="000000" w:themeColor="text1"/>
          <w:sz w:val="24"/>
          <w:szCs w:val="24"/>
        </w:rPr>
        <w:t>er</w:t>
      </w:r>
      <w:r w:rsidR="008A7BFE" w:rsidRPr="00615171">
        <w:rPr>
          <w:rFonts w:asciiTheme="majorBidi" w:hAnsiTheme="majorBidi" w:cstheme="majorBidi"/>
          <w:color w:val="000000" w:themeColor="text1"/>
          <w:sz w:val="24"/>
          <w:szCs w:val="24"/>
        </w:rPr>
        <w:t xml:space="preserve"> health compared to </w:t>
      </w:r>
      <w:r w:rsidR="00A502D3" w:rsidRPr="00615171">
        <w:rPr>
          <w:rFonts w:asciiTheme="majorBidi" w:hAnsiTheme="majorBidi" w:cstheme="majorBidi"/>
          <w:color w:val="000000" w:themeColor="text1"/>
          <w:sz w:val="24"/>
          <w:szCs w:val="24"/>
        </w:rPr>
        <w:t>those w</w:t>
      </w:r>
      <w:r w:rsidR="00E661DD" w:rsidRPr="00615171">
        <w:rPr>
          <w:rFonts w:asciiTheme="majorBidi" w:hAnsiTheme="majorBidi" w:cstheme="majorBidi"/>
          <w:color w:val="000000" w:themeColor="text1"/>
          <w:sz w:val="24"/>
          <w:szCs w:val="24"/>
        </w:rPr>
        <w:t>ith</w:t>
      </w:r>
      <w:r w:rsidR="00F07C85" w:rsidRPr="00615171">
        <w:rPr>
          <w:rFonts w:asciiTheme="majorBidi" w:hAnsiTheme="majorBidi" w:cstheme="majorBidi"/>
          <w:color w:val="000000" w:themeColor="text1"/>
          <w:sz w:val="24"/>
          <w:szCs w:val="24"/>
        </w:rPr>
        <w:t xml:space="preserve"> higher</w:t>
      </w:r>
      <w:r w:rsidR="00FB6764" w:rsidRPr="00615171">
        <w:rPr>
          <w:rFonts w:asciiTheme="majorBidi" w:hAnsiTheme="majorBidi" w:cstheme="majorBidi"/>
          <w:color w:val="000000" w:themeColor="text1"/>
          <w:sz w:val="24"/>
          <w:szCs w:val="24"/>
        </w:rPr>
        <w:t xml:space="preserve"> </w:t>
      </w:r>
      <w:r w:rsidR="00EE1310" w:rsidRPr="00615171">
        <w:rPr>
          <w:rFonts w:asciiTheme="majorBidi" w:hAnsiTheme="majorBidi" w:cstheme="majorBidi"/>
          <w:color w:val="000000" w:themeColor="text1"/>
          <w:sz w:val="24"/>
          <w:szCs w:val="24"/>
        </w:rPr>
        <w:t>SES</w:t>
      </w:r>
      <w:r w:rsidR="004A1E26" w:rsidRPr="00615171">
        <w:rPr>
          <w:rFonts w:asciiTheme="majorBidi" w:hAnsiTheme="majorBidi" w:cstheme="majorBidi"/>
          <w:color w:val="000000" w:themeColor="text1"/>
          <w:sz w:val="24"/>
          <w:szCs w:val="24"/>
        </w:rPr>
        <w:t xml:space="preserve"> (Grundy and Glazer, 2000; </w:t>
      </w:r>
      <w:proofErr w:type="spellStart"/>
      <w:r w:rsidR="004A1E26" w:rsidRPr="00615171">
        <w:rPr>
          <w:rFonts w:asciiTheme="majorBidi" w:hAnsiTheme="majorBidi" w:cstheme="majorBidi"/>
          <w:color w:val="000000" w:themeColor="text1"/>
          <w:sz w:val="24"/>
          <w:szCs w:val="24"/>
        </w:rPr>
        <w:t>Aratzciz</w:t>
      </w:r>
      <w:proofErr w:type="spellEnd"/>
      <w:r w:rsidR="004A1E26" w:rsidRPr="00615171">
        <w:rPr>
          <w:rFonts w:asciiTheme="majorBidi" w:hAnsiTheme="majorBidi" w:cstheme="majorBidi"/>
          <w:color w:val="000000" w:themeColor="text1"/>
          <w:sz w:val="24"/>
          <w:szCs w:val="24"/>
        </w:rPr>
        <w:t xml:space="preserve"> and Rueda, 2007)</w:t>
      </w:r>
      <w:r w:rsidR="00FB6764" w:rsidRPr="00615171">
        <w:rPr>
          <w:rFonts w:asciiTheme="majorBidi" w:hAnsiTheme="majorBidi" w:cstheme="majorBidi"/>
          <w:color w:val="000000" w:themeColor="text1"/>
          <w:sz w:val="24"/>
          <w:szCs w:val="24"/>
        </w:rPr>
        <w:t>.</w:t>
      </w:r>
      <w:r w:rsidR="004D5B70" w:rsidRPr="00615171">
        <w:rPr>
          <w:rFonts w:asciiTheme="majorBidi" w:hAnsiTheme="majorBidi" w:cstheme="majorBidi"/>
          <w:color w:val="000000" w:themeColor="text1"/>
          <w:sz w:val="24"/>
          <w:szCs w:val="24"/>
        </w:rPr>
        <w:t xml:space="preserve"> </w:t>
      </w:r>
      <w:r w:rsidR="00F25678" w:rsidRPr="00615171">
        <w:rPr>
          <w:rFonts w:asciiTheme="majorBidi" w:hAnsiTheme="majorBidi" w:cstheme="majorBidi"/>
          <w:color w:val="000000" w:themeColor="text1"/>
          <w:sz w:val="24"/>
          <w:szCs w:val="24"/>
        </w:rPr>
        <w:t>However</w:t>
      </w:r>
      <w:r w:rsidR="00943DC1" w:rsidRPr="00615171">
        <w:rPr>
          <w:rFonts w:asciiTheme="majorBidi" w:hAnsiTheme="majorBidi" w:cstheme="majorBidi"/>
          <w:color w:val="000000" w:themeColor="text1"/>
          <w:sz w:val="24"/>
          <w:szCs w:val="24"/>
        </w:rPr>
        <w:t xml:space="preserve">, </w:t>
      </w:r>
      <w:r w:rsidR="00077A12" w:rsidRPr="00615171">
        <w:rPr>
          <w:rFonts w:asciiTheme="majorBidi" w:hAnsiTheme="majorBidi" w:cstheme="majorBidi"/>
          <w:color w:val="000000" w:themeColor="text1"/>
          <w:sz w:val="24"/>
          <w:szCs w:val="24"/>
        </w:rPr>
        <w:t xml:space="preserve">studies on </w:t>
      </w:r>
      <w:r w:rsidR="00943DC1" w:rsidRPr="00615171">
        <w:rPr>
          <w:rFonts w:asciiTheme="majorBidi" w:hAnsiTheme="majorBidi" w:cstheme="majorBidi"/>
          <w:color w:val="000000" w:themeColor="text1"/>
          <w:sz w:val="24"/>
          <w:szCs w:val="24"/>
        </w:rPr>
        <w:t>t</w:t>
      </w:r>
      <w:r w:rsidR="00EB6B98" w:rsidRPr="00615171">
        <w:rPr>
          <w:rFonts w:asciiTheme="majorBidi" w:hAnsiTheme="majorBidi" w:cstheme="majorBidi"/>
          <w:color w:val="000000" w:themeColor="text1"/>
          <w:sz w:val="24"/>
          <w:szCs w:val="24"/>
        </w:rPr>
        <w:t>he issue of socio-economic inequalities</w:t>
      </w:r>
      <w:r w:rsidR="004B5B50" w:rsidRPr="00615171">
        <w:rPr>
          <w:rFonts w:asciiTheme="majorBidi" w:hAnsiTheme="majorBidi" w:cstheme="majorBidi"/>
          <w:color w:val="000000" w:themeColor="text1"/>
          <w:sz w:val="24"/>
          <w:szCs w:val="24"/>
        </w:rPr>
        <w:t xml:space="preserve"> in health</w:t>
      </w:r>
      <w:r w:rsidR="00F370FE" w:rsidRPr="00615171">
        <w:rPr>
          <w:rFonts w:asciiTheme="majorBidi" w:hAnsiTheme="majorBidi" w:cstheme="majorBidi"/>
          <w:color w:val="000000" w:themeColor="text1"/>
          <w:sz w:val="24"/>
          <w:szCs w:val="24"/>
        </w:rPr>
        <w:t xml:space="preserve"> tend to focus on </w:t>
      </w:r>
      <w:r w:rsidR="00231EB0" w:rsidRPr="00615171">
        <w:rPr>
          <w:rFonts w:asciiTheme="majorBidi" w:hAnsiTheme="majorBidi" w:cstheme="majorBidi"/>
          <w:color w:val="000000" w:themeColor="text1"/>
          <w:sz w:val="24"/>
          <w:szCs w:val="24"/>
        </w:rPr>
        <w:t>people</w:t>
      </w:r>
      <w:r w:rsidR="00E661DD" w:rsidRPr="00615171">
        <w:rPr>
          <w:rFonts w:asciiTheme="majorBidi" w:hAnsiTheme="majorBidi" w:cstheme="majorBidi"/>
          <w:color w:val="000000" w:themeColor="text1"/>
          <w:sz w:val="24"/>
          <w:szCs w:val="24"/>
        </w:rPr>
        <w:t xml:space="preserve"> of working age</w:t>
      </w:r>
      <w:r w:rsidR="00231EB0" w:rsidRPr="00615171">
        <w:rPr>
          <w:rFonts w:asciiTheme="majorBidi" w:hAnsiTheme="majorBidi" w:cstheme="majorBidi"/>
          <w:color w:val="000000" w:themeColor="text1"/>
          <w:sz w:val="24"/>
          <w:szCs w:val="24"/>
        </w:rPr>
        <w:t xml:space="preserve">, </w:t>
      </w:r>
      <w:r w:rsidR="00F370FE" w:rsidRPr="00615171">
        <w:rPr>
          <w:rFonts w:asciiTheme="majorBidi" w:hAnsiTheme="majorBidi" w:cstheme="majorBidi"/>
          <w:color w:val="000000" w:themeColor="text1"/>
          <w:sz w:val="24"/>
          <w:szCs w:val="24"/>
        </w:rPr>
        <w:t>giving</w:t>
      </w:r>
      <w:r w:rsidR="00FA0E4E" w:rsidRPr="00615171">
        <w:rPr>
          <w:rFonts w:asciiTheme="majorBidi" w:hAnsiTheme="majorBidi" w:cstheme="majorBidi"/>
          <w:color w:val="000000" w:themeColor="text1"/>
          <w:sz w:val="24"/>
          <w:szCs w:val="24"/>
        </w:rPr>
        <w:t xml:space="preserve"> </w:t>
      </w:r>
      <w:r w:rsidR="00077A12" w:rsidRPr="00615171">
        <w:rPr>
          <w:rFonts w:asciiTheme="majorBidi" w:hAnsiTheme="majorBidi" w:cstheme="majorBidi"/>
          <w:color w:val="000000" w:themeColor="text1"/>
          <w:sz w:val="24"/>
          <w:szCs w:val="24"/>
        </w:rPr>
        <w:t xml:space="preserve">less attention to </w:t>
      </w:r>
      <w:r w:rsidR="00894C77" w:rsidRPr="00615171">
        <w:rPr>
          <w:rFonts w:asciiTheme="majorBidi" w:hAnsiTheme="majorBidi" w:cstheme="majorBidi"/>
          <w:color w:val="000000" w:themeColor="text1"/>
          <w:sz w:val="24"/>
          <w:szCs w:val="24"/>
        </w:rPr>
        <w:t>such diffe</w:t>
      </w:r>
      <w:r w:rsidR="003041C2" w:rsidRPr="00615171">
        <w:rPr>
          <w:rFonts w:asciiTheme="majorBidi" w:hAnsiTheme="majorBidi" w:cstheme="majorBidi"/>
          <w:color w:val="000000" w:themeColor="text1"/>
          <w:sz w:val="24"/>
          <w:szCs w:val="24"/>
        </w:rPr>
        <w:t>rential</w:t>
      </w:r>
      <w:r w:rsidR="00E661DD" w:rsidRPr="00615171">
        <w:rPr>
          <w:rFonts w:asciiTheme="majorBidi" w:hAnsiTheme="majorBidi" w:cstheme="majorBidi"/>
          <w:color w:val="000000" w:themeColor="text1"/>
          <w:sz w:val="24"/>
          <w:szCs w:val="24"/>
        </w:rPr>
        <w:t>s</w:t>
      </w:r>
      <w:r w:rsidR="003041C2" w:rsidRPr="00615171">
        <w:rPr>
          <w:rFonts w:asciiTheme="majorBidi" w:hAnsiTheme="majorBidi" w:cstheme="majorBidi"/>
          <w:color w:val="000000" w:themeColor="text1"/>
          <w:sz w:val="24"/>
          <w:szCs w:val="24"/>
        </w:rPr>
        <w:t xml:space="preserve"> among</w:t>
      </w:r>
      <w:r w:rsidR="00A64A58" w:rsidRPr="00615171">
        <w:rPr>
          <w:rFonts w:asciiTheme="majorBidi" w:hAnsiTheme="majorBidi" w:cstheme="majorBidi"/>
          <w:color w:val="000000" w:themeColor="text1"/>
          <w:sz w:val="24"/>
          <w:szCs w:val="24"/>
        </w:rPr>
        <w:t xml:space="preserve"> </w:t>
      </w:r>
      <w:r w:rsidR="000F20A2" w:rsidRPr="00615171">
        <w:rPr>
          <w:rFonts w:asciiTheme="majorBidi" w:hAnsiTheme="majorBidi" w:cstheme="majorBidi"/>
          <w:color w:val="000000" w:themeColor="text1"/>
          <w:sz w:val="24"/>
          <w:szCs w:val="24"/>
        </w:rPr>
        <w:t xml:space="preserve">the </w:t>
      </w:r>
      <w:r w:rsidR="003B4A94" w:rsidRPr="00615171">
        <w:rPr>
          <w:rFonts w:asciiTheme="majorBidi" w:hAnsiTheme="majorBidi" w:cstheme="majorBidi"/>
          <w:color w:val="000000" w:themeColor="text1"/>
          <w:sz w:val="24"/>
          <w:szCs w:val="24"/>
        </w:rPr>
        <w:t>growing number</w:t>
      </w:r>
      <w:r w:rsidR="004A1E26" w:rsidRPr="00615171">
        <w:rPr>
          <w:rFonts w:asciiTheme="majorBidi" w:hAnsiTheme="majorBidi" w:cstheme="majorBidi"/>
          <w:color w:val="000000" w:themeColor="text1"/>
          <w:sz w:val="24"/>
          <w:szCs w:val="24"/>
        </w:rPr>
        <w:t>s</w:t>
      </w:r>
      <w:r w:rsidR="00483171" w:rsidRPr="00615171">
        <w:rPr>
          <w:rFonts w:asciiTheme="majorBidi" w:hAnsiTheme="majorBidi" w:cstheme="majorBidi"/>
          <w:color w:val="000000" w:themeColor="text1"/>
          <w:sz w:val="24"/>
          <w:szCs w:val="24"/>
        </w:rPr>
        <w:t xml:space="preserve"> of</w:t>
      </w:r>
      <w:r w:rsidR="003B4A94" w:rsidRPr="00615171">
        <w:rPr>
          <w:rFonts w:asciiTheme="majorBidi" w:hAnsiTheme="majorBidi" w:cstheme="majorBidi"/>
          <w:color w:val="000000" w:themeColor="text1"/>
          <w:sz w:val="24"/>
          <w:szCs w:val="24"/>
        </w:rPr>
        <w:t xml:space="preserve"> older </w:t>
      </w:r>
      <w:r w:rsidR="003041C2" w:rsidRPr="00615171">
        <w:rPr>
          <w:rFonts w:asciiTheme="majorBidi" w:hAnsiTheme="majorBidi" w:cstheme="majorBidi"/>
          <w:color w:val="000000" w:themeColor="text1"/>
          <w:sz w:val="24"/>
          <w:szCs w:val="24"/>
        </w:rPr>
        <w:t xml:space="preserve">people </w:t>
      </w:r>
      <w:r w:rsidR="003B4A94" w:rsidRPr="00615171">
        <w:rPr>
          <w:rFonts w:asciiTheme="majorBidi" w:hAnsiTheme="majorBidi" w:cstheme="majorBidi"/>
          <w:color w:val="000000" w:themeColor="text1"/>
          <w:sz w:val="24"/>
          <w:szCs w:val="24"/>
        </w:rPr>
        <w:t>(</w:t>
      </w:r>
      <w:r w:rsidR="003041C2" w:rsidRPr="00615171">
        <w:rPr>
          <w:rFonts w:asciiTheme="majorBidi" w:hAnsiTheme="majorBidi" w:cstheme="majorBidi"/>
          <w:color w:val="000000" w:themeColor="text1"/>
          <w:sz w:val="24"/>
          <w:szCs w:val="24"/>
        </w:rPr>
        <w:t>age</w:t>
      </w:r>
      <w:r w:rsidR="00E661DD" w:rsidRPr="00615171">
        <w:rPr>
          <w:rFonts w:asciiTheme="majorBidi" w:hAnsiTheme="majorBidi" w:cstheme="majorBidi"/>
          <w:color w:val="000000" w:themeColor="text1"/>
          <w:sz w:val="24"/>
          <w:szCs w:val="24"/>
        </w:rPr>
        <w:t>d</w:t>
      </w:r>
      <w:r w:rsidR="0062005B" w:rsidRPr="00615171">
        <w:rPr>
          <w:rFonts w:asciiTheme="majorBidi" w:hAnsiTheme="majorBidi" w:cstheme="majorBidi"/>
          <w:color w:val="000000" w:themeColor="text1"/>
          <w:sz w:val="24"/>
          <w:szCs w:val="24"/>
        </w:rPr>
        <w:t xml:space="preserve"> 65</w:t>
      </w:r>
      <w:r w:rsidR="00894C77" w:rsidRPr="00615171">
        <w:rPr>
          <w:rFonts w:asciiTheme="majorBidi" w:hAnsiTheme="majorBidi" w:cstheme="majorBidi"/>
          <w:color w:val="000000" w:themeColor="text1"/>
          <w:sz w:val="24"/>
          <w:szCs w:val="24"/>
        </w:rPr>
        <w:t xml:space="preserve"> </w:t>
      </w:r>
      <w:r w:rsidR="00804C48" w:rsidRPr="00615171">
        <w:rPr>
          <w:rFonts w:asciiTheme="majorBidi" w:hAnsiTheme="majorBidi" w:cstheme="majorBidi"/>
          <w:color w:val="000000" w:themeColor="text1"/>
          <w:sz w:val="24"/>
          <w:szCs w:val="24"/>
        </w:rPr>
        <w:t xml:space="preserve">years </w:t>
      </w:r>
      <w:r w:rsidR="00894C77" w:rsidRPr="00615171">
        <w:rPr>
          <w:rFonts w:asciiTheme="majorBidi" w:hAnsiTheme="majorBidi" w:cstheme="majorBidi"/>
          <w:color w:val="000000" w:themeColor="text1"/>
          <w:sz w:val="24"/>
          <w:szCs w:val="24"/>
        </w:rPr>
        <w:t>and over</w:t>
      </w:r>
      <w:r w:rsidR="003B4A94" w:rsidRPr="00615171">
        <w:rPr>
          <w:rFonts w:asciiTheme="majorBidi" w:hAnsiTheme="majorBidi" w:cstheme="majorBidi"/>
          <w:color w:val="000000" w:themeColor="text1"/>
          <w:sz w:val="24"/>
          <w:szCs w:val="24"/>
        </w:rPr>
        <w:t>)</w:t>
      </w:r>
      <w:r w:rsidR="00894C77" w:rsidRPr="00615171">
        <w:rPr>
          <w:rFonts w:asciiTheme="majorBidi" w:hAnsiTheme="majorBidi" w:cstheme="majorBidi"/>
          <w:color w:val="000000" w:themeColor="text1"/>
          <w:sz w:val="24"/>
          <w:szCs w:val="24"/>
        </w:rPr>
        <w:t>.</w:t>
      </w:r>
      <w:r w:rsidR="00541619" w:rsidRPr="00615171">
        <w:rPr>
          <w:rFonts w:asciiTheme="majorBidi" w:hAnsiTheme="majorBidi" w:cstheme="majorBidi"/>
          <w:color w:val="000000" w:themeColor="text1"/>
          <w:sz w:val="24"/>
          <w:szCs w:val="24"/>
        </w:rPr>
        <w:t xml:space="preserve"> </w:t>
      </w:r>
      <w:r w:rsidR="004A1E26" w:rsidRPr="00615171">
        <w:rPr>
          <w:rFonts w:asciiTheme="majorBidi" w:hAnsiTheme="majorBidi" w:cstheme="majorBidi"/>
          <w:color w:val="000000" w:themeColor="text1"/>
          <w:sz w:val="24"/>
          <w:szCs w:val="24"/>
        </w:rPr>
        <w:t>Secondly, t</w:t>
      </w:r>
      <w:r w:rsidR="00F370FE" w:rsidRPr="00615171">
        <w:rPr>
          <w:rFonts w:asciiTheme="majorBidi" w:hAnsiTheme="majorBidi" w:cstheme="majorBidi"/>
          <w:color w:val="000000" w:themeColor="text1"/>
          <w:sz w:val="24"/>
          <w:szCs w:val="24"/>
        </w:rPr>
        <w:t xml:space="preserve">hese </w:t>
      </w:r>
      <w:r w:rsidR="001A7180" w:rsidRPr="00615171">
        <w:rPr>
          <w:rFonts w:asciiTheme="majorBidi" w:hAnsiTheme="majorBidi" w:cstheme="majorBidi"/>
          <w:color w:val="000000" w:themeColor="text1"/>
          <w:sz w:val="24"/>
          <w:szCs w:val="24"/>
        </w:rPr>
        <w:t xml:space="preserve">causal </w:t>
      </w:r>
      <w:r w:rsidR="00F370FE" w:rsidRPr="00615171">
        <w:rPr>
          <w:rFonts w:asciiTheme="majorBidi" w:hAnsiTheme="majorBidi" w:cstheme="majorBidi"/>
          <w:color w:val="000000" w:themeColor="text1"/>
          <w:sz w:val="24"/>
          <w:szCs w:val="24"/>
        </w:rPr>
        <w:t>relationships are more complex than would be expected. Rapid</w:t>
      </w:r>
      <w:r w:rsidR="00937024" w:rsidRPr="00615171">
        <w:rPr>
          <w:rFonts w:asciiTheme="majorBidi" w:hAnsiTheme="majorBidi" w:cstheme="majorBidi"/>
          <w:color w:val="000000" w:themeColor="text1"/>
          <w:sz w:val="24"/>
          <w:szCs w:val="24"/>
        </w:rPr>
        <w:t xml:space="preserve"> population ageing </w:t>
      </w:r>
      <w:r w:rsidR="00FA0E4E" w:rsidRPr="00615171">
        <w:rPr>
          <w:rFonts w:asciiTheme="majorBidi" w:hAnsiTheme="majorBidi" w:cstheme="majorBidi"/>
          <w:color w:val="000000" w:themeColor="text1"/>
          <w:sz w:val="24"/>
          <w:szCs w:val="24"/>
        </w:rPr>
        <w:t>in developed</w:t>
      </w:r>
      <w:r w:rsidR="00CC5410" w:rsidRPr="00615171">
        <w:rPr>
          <w:rFonts w:asciiTheme="majorBidi" w:hAnsiTheme="majorBidi" w:cstheme="majorBidi"/>
          <w:color w:val="000000" w:themeColor="text1"/>
          <w:sz w:val="24"/>
          <w:szCs w:val="24"/>
        </w:rPr>
        <w:t xml:space="preserve"> countries</w:t>
      </w:r>
      <w:r w:rsidR="00F370FE" w:rsidRPr="00615171">
        <w:rPr>
          <w:rFonts w:asciiTheme="majorBidi" w:hAnsiTheme="majorBidi" w:cstheme="majorBidi"/>
          <w:color w:val="000000" w:themeColor="text1"/>
          <w:sz w:val="24"/>
          <w:szCs w:val="24"/>
        </w:rPr>
        <w:t xml:space="preserve"> requires</w:t>
      </w:r>
      <w:r w:rsidR="00CC5410" w:rsidRPr="00615171">
        <w:rPr>
          <w:rFonts w:asciiTheme="majorBidi" w:hAnsiTheme="majorBidi" w:cstheme="majorBidi"/>
          <w:color w:val="000000" w:themeColor="text1"/>
          <w:sz w:val="24"/>
          <w:szCs w:val="24"/>
        </w:rPr>
        <w:t xml:space="preserve"> </w:t>
      </w:r>
      <w:r w:rsidR="00077A12" w:rsidRPr="00615171">
        <w:rPr>
          <w:rFonts w:asciiTheme="majorBidi" w:hAnsiTheme="majorBidi" w:cstheme="majorBidi"/>
          <w:color w:val="000000" w:themeColor="text1"/>
          <w:sz w:val="24"/>
          <w:szCs w:val="24"/>
        </w:rPr>
        <w:t>a</w:t>
      </w:r>
      <w:r w:rsidR="004A1E26" w:rsidRPr="00615171">
        <w:rPr>
          <w:rFonts w:asciiTheme="majorBidi" w:hAnsiTheme="majorBidi" w:cstheme="majorBidi"/>
          <w:color w:val="000000" w:themeColor="text1"/>
          <w:sz w:val="24"/>
          <w:szCs w:val="24"/>
        </w:rPr>
        <w:t xml:space="preserve"> more nuanced</w:t>
      </w:r>
      <w:r w:rsidR="00077A12" w:rsidRPr="00615171">
        <w:rPr>
          <w:rFonts w:asciiTheme="majorBidi" w:hAnsiTheme="majorBidi" w:cstheme="majorBidi"/>
          <w:color w:val="000000" w:themeColor="text1"/>
          <w:sz w:val="24"/>
          <w:szCs w:val="24"/>
        </w:rPr>
        <w:t xml:space="preserve"> understanding of the health </w:t>
      </w:r>
      <w:r w:rsidR="00FA0E4E" w:rsidRPr="00615171">
        <w:rPr>
          <w:rFonts w:asciiTheme="majorBidi" w:hAnsiTheme="majorBidi" w:cstheme="majorBidi"/>
          <w:color w:val="000000" w:themeColor="text1"/>
          <w:sz w:val="24"/>
          <w:szCs w:val="24"/>
        </w:rPr>
        <w:t>trajectories of</w:t>
      </w:r>
      <w:r w:rsidR="00CC5410" w:rsidRPr="00615171">
        <w:rPr>
          <w:rFonts w:asciiTheme="majorBidi" w:hAnsiTheme="majorBidi" w:cstheme="majorBidi"/>
          <w:color w:val="000000" w:themeColor="text1"/>
          <w:sz w:val="24"/>
          <w:szCs w:val="24"/>
        </w:rPr>
        <w:t xml:space="preserve"> </w:t>
      </w:r>
      <w:r w:rsidR="00077A12" w:rsidRPr="00615171">
        <w:rPr>
          <w:rFonts w:asciiTheme="majorBidi" w:hAnsiTheme="majorBidi" w:cstheme="majorBidi"/>
          <w:color w:val="000000" w:themeColor="text1"/>
          <w:sz w:val="24"/>
          <w:szCs w:val="24"/>
        </w:rPr>
        <w:t>older people</w:t>
      </w:r>
      <w:r w:rsidR="001A7180" w:rsidRPr="00615171">
        <w:rPr>
          <w:rFonts w:asciiTheme="majorBidi" w:hAnsiTheme="majorBidi" w:cstheme="majorBidi"/>
          <w:color w:val="000000" w:themeColor="text1"/>
          <w:sz w:val="24"/>
          <w:szCs w:val="24"/>
        </w:rPr>
        <w:t>. Thinking</w:t>
      </w:r>
      <w:r w:rsidR="00F370FE" w:rsidRPr="00615171">
        <w:rPr>
          <w:rFonts w:asciiTheme="majorBidi" w:hAnsiTheme="majorBidi" w:cstheme="majorBidi"/>
          <w:color w:val="000000" w:themeColor="text1"/>
          <w:sz w:val="24"/>
          <w:szCs w:val="24"/>
        </w:rPr>
        <w:t xml:space="preserve"> more creatively about the processes of illness, loss and the quality of experiences in later life </w:t>
      </w:r>
      <w:r w:rsidR="001A7180" w:rsidRPr="00615171">
        <w:rPr>
          <w:rFonts w:asciiTheme="majorBidi" w:hAnsiTheme="majorBidi" w:cstheme="majorBidi"/>
          <w:color w:val="000000" w:themeColor="text1"/>
          <w:sz w:val="24"/>
          <w:szCs w:val="24"/>
        </w:rPr>
        <w:t xml:space="preserve">should recognise that discourses being constructed about what constitutes </w:t>
      </w:r>
      <w:r w:rsidR="009C3B2A" w:rsidRPr="00615171">
        <w:rPr>
          <w:rFonts w:asciiTheme="majorBidi" w:hAnsiTheme="majorBidi" w:cstheme="majorBidi"/>
          <w:color w:val="000000" w:themeColor="text1"/>
          <w:sz w:val="24"/>
          <w:szCs w:val="24"/>
        </w:rPr>
        <w:t>‘</w:t>
      </w:r>
      <w:r w:rsidR="001A7180" w:rsidRPr="00615171">
        <w:rPr>
          <w:rFonts w:asciiTheme="majorBidi" w:hAnsiTheme="majorBidi" w:cstheme="majorBidi"/>
          <w:color w:val="000000" w:themeColor="text1"/>
          <w:sz w:val="24"/>
          <w:szCs w:val="24"/>
        </w:rPr>
        <w:t xml:space="preserve">successful’ and ‘unsuccessful’ ageing may have their roots in historically past and cumulative social processes and inequalities </w:t>
      </w:r>
      <w:r w:rsidR="00215980" w:rsidRPr="00615171">
        <w:rPr>
          <w:rFonts w:asciiTheme="majorBidi" w:hAnsiTheme="majorBidi" w:cstheme="majorBidi"/>
          <w:color w:val="000000" w:themeColor="text1"/>
          <w:sz w:val="24"/>
          <w:szCs w:val="24"/>
        </w:rPr>
        <w:t>which are not yet being grappled with</w:t>
      </w:r>
      <w:r w:rsidR="00B846DE" w:rsidRPr="00615171">
        <w:rPr>
          <w:rFonts w:asciiTheme="majorBidi" w:hAnsiTheme="majorBidi" w:cstheme="majorBidi"/>
          <w:color w:val="000000" w:themeColor="text1"/>
          <w:sz w:val="24"/>
          <w:szCs w:val="24"/>
        </w:rPr>
        <w:t xml:space="preserve"> (</w:t>
      </w:r>
      <w:r w:rsidR="001A7180" w:rsidRPr="00615171">
        <w:rPr>
          <w:rFonts w:asciiTheme="majorBidi" w:hAnsiTheme="majorBidi" w:cstheme="majorBidi"/>
          <w:color w:val="000000" w:themeColor="text1"/>
          <w:sz w:val="24"/>
          <w:szCs w:val="24"/>
        </w:rPr>
        <w:t>Jones and Higgs, 2013)</w:t>
      </w:r>
      <w:r w:rsidR="00FA0E4E" w:rsidRPr="00615171">
        <w:rPr>
          <w:rFonts w:asciiTheme="majorBidi" w:hAnsiTheme="majorBidi" w:cstheme="majorBidi"/>
          <w:color w:val="000000" w:themeColor="text1"/>
          <w:sz w:val="24"/>
          <w:szCs w:val="24"/>
        </w:rPr>
        <w:t xml:space="preserve">.  </w:t>
      </w:r>
      <w:r w:rsidR="003336B5" w:rsidRPr="00615171">
        <w:rPr>
          <w:rFonts w:asciiTheme="majorBidi" w:hAnsiTheme="majorBidi" w:cstheme="majorBidi"/>
          <w:color w:val="000000" w:themeColor="text1"/>
          <w:sz w:val="24"/>
          <w:szCs w:val="24"/>
        </w:rPr>
        <w:t>Higher</w:t>
      </w:r>
      <w:r w:rsidR="00FB337F" w:rsidRPr="00615171">
        <w:rPr>
          <w:rFonts w:asciiTheme="majorBidi" w:hAnsiTheme="majorBidi" w:cstheme="majorBidi"/>
          <w:color w:val="000000" w:themeColor="text1"/>
          <w:sz w:val="24"/>
          <w:szCs w:val="24"/>
        </w:rPr>
        <w:t xml:space="preserve"> mortality </w:t>
      </w:r>
      <w:r w:rsidR="00B846DE" w:rsidRPr="00615171">
        <w:rPr>
          <w:rFonts w:asciiTheme="majorBidi" w:hAnsiTheme="majorBidi" w:cstheme="majorBidi"/>
          <w:color w:val="000000" w:themeColor="text1"/>
          <w:sz w:val="24"/>
          <w:szCs w:val="24"/>
        </w:rPr>
        <w:t xml:space="preserve">and morbidity </w:t>
      </w:r>
      <w:r w:rsidR="00215980" w:rsidRPr="00615171">
        <w:rPr>
          <w:rFonts w:asciiTheme="majorBidi" w:hAnsiTheme="majorBidi" w:cstheme="majorBidi"/>
          <w:color w:val="000000" w:themeColor="text1"/>
          <w:sz w:val="24"/>
          <w:szCs w:val="24"/>
        </w:rPr>
        <w:t xml:space="preserve">rates </w:t>
      </w:r>
      <w:r w:rsidR="00FB337F" w:rsidRPr="00615171">
        <w:rPr>
          <w:rFonts w:asciiTheme="majorBidi" w:hAnsiTheme="majorBidi" w:cstheme="majorBidi"/>
          <w:color w:val="000000" w:themeColor="text1"/>
          <w:sz w:val="24"/>
          <w:szCs w:val="24"/>
        </w:rPr>
        <w:t xml:space="preserve">within </w:t>
      </w:r>
      <w:r w:rsidR="00FA0E4E" w:rsidRPr="00615171">
        <w:rPr>
          <w:rFonts w:asciiTheme="majorBidi" w:hAnsiTheme="majorBidi" w:cstheme="majorBidi"/>
          <w:color w:val="000000" w:themeColor="text1"/>
          <w:sz w:val="24"/>
          <w:szCs w:val="24"/>
        </w:rPr>
        <w:t>this age</w:t>
      </w:r>
      <w:r w:rsidR="00850917" w:rsidRPr="00615171">
        <w:rPr>
          <w:rFonts w:asciiTheme="majorBidi" w:hAnsiTheme="majorBidi" w:cstheme="majorBidi"/>
          <w:color w:val="000000" w:themeColor="text1"/>
          <w:sz w:val="24"/>
          <w:szCs w:val="24"/>
        </w:rPr>
        <w:t xml:space="preserve"> group</w:t>
      </w:r>
      <w:r w:rsidR="006B5508" w:rsidRPr="00615171">
        <w:rPr>
          <w:rFonts w:asciiTheme="majorBidi" w:hAnsiTheme="majorBidi" w:cstheme="majorBidi"/>
          <w:color w:val="000000" w:themeColor="text1"/>
          <w:sz w:val="24"/>
          <w:szCs w:val="24"/>
        </w:rPr>
        <w:t xml:space="preserve"> (</w:t>
      </w:r>
      <w:r w:rsidR="00850917" w:rsidRPr="00615171">
        <w:rPr>
          <w:rFonts w:asciiTheme="majorBidi" w:hAnsiTheme="majorBidi" w:cstheme="majorBidi"/>
          <w:color w:val="000000" w:themeColor="text1"/>
          <w:sz w:val="24"/>
          <w:szCs w:val="24"/>
        </w:rPr>
        <w:t>Bowling, 2004)</w:t>
      </w:r>
      <w:r w:rsidR="009C3B2A" w:rsidRPr="00615171">
        <w:rPr>
          <w:rFonts w:asciiTheme="majorBidi" w:hAnsiTheme="majorBidi" w:cstheme="majorBidi"/>
          <w:color w:val="000000" w:themeColor="text1"/>
          <w:sz w:val="24"/>
          <w:szCs w:val="24"/>
        </w:rPr>
        <w:t xml:space="preserve"> </w:t>
      </w:r>
      <w:r w:rsidR="00B846DE" w:rsidRPr="00615171">
        <w:rPr>
          <w:rFonts w:asciiTheme="majorBidi" w:hAnsiTheme="majorBidi" w:cstheme="majorBidi"/>
          <w:color w:val="000000" w:themeColor="text1"/>
          <w:sz w:val="24"/>
          <w:szCs w:val="24"/>
        </w:rPr>
        <w:t xml:space="preserve">have </w:t>
      </w:r>
      <w:r w:rsidR="00215980" w:rsidRPr="00615171">
        <w:rPr>
          <w:rFonts w:asciiTheme="majorBidi" w:hAnsiTheme="majorBidi" w:cstheme="majorBidi"/>
          <w:color w:val="000000" w:themeColor="text1"/>
          <w:sz w:val="24"/>
          <w:szCs w:val="24"/>
        </w:rPr>
        <w:t xml:space="preserve">also </w:t>
      </w:r>
      <w:r w:rsidR="00B846DE" w:rsidRPr="00615171">
        <w:rPr>
          <w:rFonts w:asciiTheme="majorBidi" w:hAnsiTheme="majorBidi" w:cstheme="majorBidi"/>
          <w:color w:val="000000" w:themeColor="text1"/>
          <w:sz w:val="24"/>
          <w:szCs w:val="24"/>
        </w:rPr>
        <w:t>been related to the persistence of health inequalities across the lifecourse (Marmot, 2010).</w:t>
      </w:r>
      <w:r w:rsidR="00937024" w:rsidRPr="00615171">
        <w:rPr>
          <w:rFonts w:asciiTheme="majorBidi" w:hAnsiTheme="majorBidi" w:cstheme="majorBidi"/>
          <w:color w:val="000000" w:themeColor="text1"/>
          <w:sz w:val="24"/>
          <w:szCs w:val="24"/>
        </w:rPr>
        <w:t xml:space="preserve"> </w:t>
      </w:r>
      <w:r w:rsidR="005B4A0E" w:rsidRPr="00615171">
        <w:rPr>
          <w:rFonts w:asciiTheme="majorBidi" w:hAnsiTheme="majorBidi" w:cstheme="majorBidi"/>
          <w:color w:val="000000" w:themeColor="text1"/>
          <w:sz w:val="24"/>
          <w:szCs w:val="24"/>
        </w:rPr>
        <w:t xml:space="preserve">Developed countries such as Germany and Japan have provided some interesting examples arising from social and political upheavals in the twentieth century which have bearing on whether the </w:t>
      </w:r>
      <w:r w:rsidR="005B4A0E" w:rsidRPr="00615171">
        <w:rPr>
          <w:rFonts w:asciiTheme="majorBidi" w:hAnsiTheme="majorBidi" w:cstheme="majorBidi"/>
          <w:color w:val="000000" w:themeColor="text1"/>
          <w:sz w:val="24"/>
          <w:szCs w:val="24"/>
        </w:rPr>
        <w:lastRenderedPageBreak/>
        <w:t xml:space="preserve">underlying causes of the malleability in human aging are due more to improvements in early life or to </w:t>
      </w:r>
      <w:r w:rsidR="00852B47" w:rsidRPr="00615171">
        <w:rPr>
          <w:rFonts w:asciiTheme="majorBidi" w:hAnsiTheme="majorBidi" w:cstheme="majorBidi"/>
          <w:color w:val="000000" w:themeColor="text1"/>
          <w:sz w:val="24"/>
          <w:szCs w:val="24"/>
        </w:rPr>
        <w:t>improvements</w:t>
      </w:r>
      <w:r w:rsidR="005B4A0E" w:rsidRPr="00615171">
        <w:rPr>
          <w:rFonts w:asciiTheme="majorBidi" w:hAnsiTheme="majorBidi" w:cstheme="majorBidi"/>
          <w:color w:val="000000" w:themeColor="text1"/>
          <w:sz w:val="24"/>
          <w:szCs w:val="24"/>
        </w:rPr>
        <w:t xml:space="preserve"> in the living conditions experienced in later life (Kirkwood, 2014). </w:t>
      </w:r>
      <w:r w:rsidR="00852B47" w:rsidRPr="00615171">
        <w:rPr>
          <w:rFonts w:asciiTheme="majorBidi" w:hAnsiTheme="majorBidi" w:cstheme="majorBidi"/>
          <w:color w:val="000000" w:themeColor="text1"/>
          <w:sz w:val="24"/>
          <w:szCs w:val="24"/>
        </w:rPr>
        <w:t xml:space="preserve"> Despite the UK having among the biggest reductions in mortality, the UK ‘older adult’ rates are sixt</w:t>
      </w:r>
      <w:r w:rsidR="00720028" w:rsidRPr="00615171">
        <w:rPr>
          <w:rFonts w:asciiTheme="majorBidi" w:hAnsiTheme="majorBidi" w:cstheme="majorBidi"/>
          <w:color w:val="000000" w:themeColor="text1"/>
          <w:sz w:val="24"/>
          <w:szCs w:val="24"/>
        </w:rPr>
        <w:t>h</w:t>
      </w:r>
      <w:r w:rsidR="00852B47" w:rsidRPr="00615171">
        <w:rPr>
          <w:rFonts w:asciiTheme="majorBidi" w:hAnsiTheme="majorBidi" w:cstheme="majorBidi"/>
          <w:color w:val="000000" w:themeColor="text1"/>
          <w:sz w:val="24"/>
          <w:szCs w:val="24"/>
        </w:rPr>
        <w:t xml:space="preserve"> highest among Western countries so there are no grounds for complacency (Pritchard and Wallace, 2011).</w:t>
      </w:r>
      <w:r w:rsidR="00215980" w:rsidRPr="00615171">
        <w:rPr>
          <w:rFonts w:asciiTheme="majorBidi" w:hAnsiTheme="majorBidi" w:cstheme="majorBidi"/>
          <w:color w:val="000000" w:themeColor="text1"/>
          <w:sz w:val="24"/>
          <w:szCs w:val="24"/>
        </w:rPr>
        <w:t xml:space="preserve"> </w:t>
      </w:r>
      <w:r w:rsidR="00700B71" w:rsidRPr="00615171">
        <w:rPr>
          <w:rFonts w:asciiTheme="majorBidi" w:hAnsiTheme="majorBidi" w:cstheme="majorBidi"/>
          <w:color w:val="000000" w:themeColor="text1"/>
          <w:sz w:val="24"/>
          <w:szCs w:val="24"/>
        </w:rPr>
        <w:t>The risk of poverty among older people in the UK is three to four times higher than the typical risk of poverty in Europe and</w:t>
      </w:r>
      <w:r w:rsidR="00B158B3" w:rsidRPr="00615171">
        <w:rPr>
          <w:rFonts w:asciiTheme="majorBidi" w:hAnsiTheme="majorBidi" w:cstheme="majorBidi"/>
          <w:color w:val="000000" w:themeColor="text1"/>
          <w:sz w:val="24"/>
          <w:szCs w:val="24"/>
        </w:rPr>
        <w:t xml:space="preserve"> in terms of quality of life,</w:t>
      </w:r>
      <w:r w:rsidR="00700B71" w:rsidRPr="00615171">
        <w:rPr>
          <w:rFonts w:asciiTheme="majorBidi" w:hAnsiTheme="majorBidi" w:cstheme="majorBidi"/>
          <w:color w:val="000000" w:themeColor="text1"/>
          <w:sz w:val="24"/>
          <w:szCs w:val="24"/>
        </w:rPr>
        <w:t xml:space="preserve"> a strong association has been demonstrated between SES and aspects of ‘health’ such as life satisfaction, psychological wellbeing, social exclusion and the ability to adapt to challenges in later life (</w:t>
      </w:r>
      <w:proofErr w:type="spellStart"/>
      <w:r w:rsidR="00700B71" w:rsidRPr="00615171">
        <w:rPr>
          <w:rFonts w:asciiTheme="majorBidi" w:hAnsiTheme="majorBidi" w:cstheme="majorBidi"/>
          <w:color w:val="000000" w:themeColor="text1"/>
          <w:sz w:val="24"/>
          <w:szCs w:val="24"/>
        </w:rPr>
        <w:t>Burholt</w:t>
      </w:r>
      <w:proofErr w:type="spellEnd"/>
      <w:r w:rsidR="00700B71" w:rsidRPr="00615171">
        <w:rPr>
          <w:rFonts w:asciiTheme="majorBidi" w:hAnsiTheme="majorBidi" w:cstheme="majorBidi"/>
          <w:color w:val="000000" w:themeColor="text1"/>
          <w:sz w:val="24"/>
          <w:szCs w:val="24"/>
        </w:rPr>
        <w:t xml:space="preserve"> and </w:t>
      </w:r>
      <w:proofErr w:type="spellStart"/>
      <w:r w:rsidR="00700B71" w:rsidRPr="00615171">
        <w:rPr>
          <w:rFonts w:asciiTheme="majorBidi" w:hAnsiTheme="majorBidi" w:cstheme="majorBidi"/>
          <w:color w:val="000000" w:themeColor="text1"/>
          <w:sz w:val="24"/>
          <w:szCs w:val="24"/>
        </w:rPr>
        <w:t>Windle</w:t>
      </w:r>
      <w:proofErr w:type="spellEnd"/>
      <w:r w:rsidR="00700B71" w:rsidRPr="00615171">
        <w:rPr>
          <w:rFonts w:asciiTheme="majorBidi" w:hAnsiTheme="majorBidi" w:cstheme="majorBidi"/>
          <w:color w:val="000000" w:themeColor="text1"/>
          <w:sz w:val="24"/>
          <w:szCs w:val="24"/>
        </w:rPr>
        <w:t>, 2006).</w:t>
      </w:r>
    </w:p>
    <w:p w14:paraId="404D8724" w14:textId="77777777" w:rsidR="00444C0B" w:rsidRPr="00615171" w:rsidRDefault="00444C0B" w:rsidP="002D773C">
      <w:pPr>
        <w:spacing w:after="0" w:line="240" w:lineRule="auto"/>
        <w:ind w:firstLine="720"/>
        <w:jc w:val="both"/>
        <w:rPr>
          <w:rFonts w:asciiTheme="majorBidi" w:hAnsiTheme="majorBidi" w:cstheme="majorBidi"/>
          <w:color w:val="000000" w:themeColor="text1"/>
          <w:sz w:val="24"/>
          <w:szCs w:val="24"/>
        </w:rPr>
      </w:pPr>
    </w:p>
    <w:p w14:paraId="53A191C8" w14:textId="29377075" w:rsidR="00D32B21" w:rsidRPr="00615171" w:rsidRDefault="00F65B24" w:rsidP="007F0E9E">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Moreover, </w:t>
      </w:r>
      <w:r w:rsidR="00C33254" w:rsidRPr="00615171">
        <w:rPr>
          <w:rFonts w:asciiTheme="majorBidi" w:hAnsiTheme="majorBidi" w:cstheme="majorBidi"/>
          <w:color w:val="000000" w:themeColor="text1"/>
          <w:sz w:val="24"/>
          <w:szCs w:val="24"/>
        </w:rPr>
        <w:t xml:space="preserve">the findings from </w:t>
      </w:r>
      <w:r w:rsidRPr="00615171">
        <w:rPr>
          <w:rFonts w:asciiTheme="majorBidi" w:hAnsiTheme="majorBidi" w:cstheme="majorBidi"/>
          <w:color w:val="000000" w:themeColor="text1"/>
          <w:sz w:val="24"/>
          <w:szCs w:val="24"/>
        </w:rPr>
        <w:t>s</w:t>
      </w:r>
      <w:r w:rsidR="00850917" w:rsidRPr="00615171">
        <w:rPr>
          <w:rFonts w:asciiTheme="majorBidi" w:hAnsiTheme="majorBidi" w:cstheme="majorBidi"/>
          <w:color w:val="000000" w:themeColor="text1"/>
          <w:sz w:val="24"/>
          <w:szCs w:val="24"/>
        </w:rPr>
        <w:t xml:space="preserve">tudies of </w:t>
      </w:r>
      <w:r w:rsidR="00C33254" w:rsidRPr="00615171">
        <w:rPr>
          <w:rFonts w:asciiTheme="majorBidi" w:hAnsiTheme="majorBidi" w:cstheme="majorBidi"/>
          <w:color w:val="000000" w:themeColor="text1"/>
          <w:sz w:val="24"/>
          <w:szCs w:val="24"/>
        </w:rPr>
        <w:t xml:space="preserve">the </w:t>
      </w:r>
      <w:r w:rsidR="00850917" w:rsidRPr="00615171">
        <w:rPr>
          <w:rFonts w:asciiTheme="majorBidi" w:hAnsiTheme="majorBidi" w:cstheme="majorBidi"/>
          <w:color w:val="000000" w:themeColor="text1"/>
          <w:sz w:val="24"/>
          <w:szCs w:val="24"/>
        </w:rPr>
        <w:t>association between SES and inequalities in</w:t>
      </w:r>
      <w:r w:rsidR="00E661DD" w:rsidRPr="00615171">
        <w:rPr>
          <w:rFonts w:asciiTheme="majorBidi" w:hAnsiTheme="majorBidi" w:cstheme="majorBidi"/>
          <w:color w:val="000000" w:themeColor="text1"/>
          <w:sz w:val="24"/>
          <w:szCs w:val="24"/>
        </w:rPr>
        <w:t xml:space="preserve"> </w:t>
      </w:r>
      <w:r w:rsidR="00C33254" w:rsidRPr="00615171">
        <w:rPr>
          <w:rFonts w:asciiTheme="majorBidi" w:hAnsiTheme="majorBidi" w:cstheme="majorBidi"/>
          <w:color w:val="000000" w:themeColor="text1"/>
          <w:sz w:val="24"/>
          <w:szCs w:val="24"/>
        </w:rPr>
        <w:t xml:space="preserve">the </w:t>
      </w:r>
      <w:r w:rsidR="00541619" w:rsidRPr="00615171">
        <w:rPr>
          <w:rFonts w:asciiTheme="majorBidi" w:hAnsiTheme="majorBidi" w:cstheme="majorBidi"/>
          <w:color w:val="000000" w:themeColor="text1"/>
          <w:sz w:val="24"/>
          <w:szCs w:val="24"/>
        </w:rPr>
        <w:t>healt</w:t>
      </w:r>
      <w:r w:rsidR="003041C2" w:rsidRPr="00615171">
        <w:rPr>
          <w:rFonts w:asciiTheme="majorBidi" w:hAnsiTheme="majorBidi" w:cstheme="majorBidi"/>
          <w:color w:val="000000" w:themeColor="text1"/>
          <w:sz w:val="24"/>
          <w:szCs w:val="24"/>
        </w:rPr>
        <w:t xml:space="preserve">h </w:t>
      </w:r>
      <w:r w:rsidR="00E661DD" w:rsidRPr="00615171">
        <w:rPr>
          <w:rFonts w:asciiTheme="majorBidi" w:hAnsiTheme="majorBidi" w:cstheme="majorBidi"/>
          <w:color w:val="000000" w:themeColor="text1"/>
          <w:sz w:val="24"/>
          <w:szCs w:val="24"/>
        </w:rPr>
        <w:t>of</w:t>
      </w:r>
      <w:r w:rsidR="003041C2" w:rsidRPr="00615171">
        <w:rPr>
          <w:rFonts w:asciiTheme="majorBidi" w:hAnsiTheme="majorBidi" w:cstheme="majorBidi"/>
          <w:color w:val="000000" w:themeColor="text1"/>
          <w:sz w:val="24"/>
          <w:szCs w:val="24"/>
        </w:rPr>
        <w:t xml:space="preserve"> older people </w:t>
      </w:r>
      <w:r w:rsidR="00834F85" w:rsidRPr="00615171">
        <w:rPr>
          <w:rFonts w:asciiTheme="majorBidi" w:hAnsiTheme="majorBidi" w:cstheme="majorBidi"/>
          <w:color w:val="000000" w:themeColor="text1"/>
          <w:sz w:val="24"/>
          <w:szCs w:val="24"/>
        </w:rPr>
        <w:t>are less</w:t>
      </w:r>
      <w:r w:rsidR="00541619" w:rsidRPr="00615171">
        <w:rPr>
          <w:rFonts w:asciiTheme="majorBidi" w:hAnsiTheme="majorBidi" w:cstheme="majorBidi"/>
          <w:color w:val="000000" w:themeColor="text1"/>
          <w:sz w:val="24"/>
          <w:szCs w:val="24"/>
        </w:rPr>
        <w:t xml:space="preserve"> consistent </w:t>
      </w:r>
      <w:r w:rsidR="00C33254" w:rsidRPr="00615171">
        <w:rPr>
          <w:rFonts w:asciiTheme="majorBidi" w:hAnsiTheme="majorBidi" w:cstheme="majorBidi"/>
          <w:color w:val="000000" w:themeColor="text1"/>
          <w:sz w:val="24"/>
          <w:szCs w:val="24"/>
        </w:rPr>
        <w:t>when</w:t>
      </w:r>
      <w:r w:rsidR="00541619" w:rsidRPr="00615171">
        <w:rPr>
          <w:rFonts w:asciiTheme="majorBidi" w:hAnsiTheme="majorBidi" w:cstheme="majorBidi"/>
          <w:color w:val="000000" w:themeColor="text1"/>
          <w:sz w:val="24"/>
          <w:szCs w:val="24"/>
        </w:rPr>
        <w:t xml:space="preserve"> compared to </w:t>
      </w:r>
      <w:r w:rsidR="00231EB0" w:rsidRPr="00615171">
        <w:rPr>
          <w:rFonts w:asciiTheme="majorBidi" w:hAnsiTheme="majorBidi" w:cstheme="majorBidi"/>
          <w:color w:val="000000" w:themeColor="text1"/>
          <w:sz w:val="24"/>
          <w:szCs w:val="24"/>
        </w:rPr>
        <w:t xml:space="preserve">that of </w:t>
      </w:r>
      <w:r w:rsidR="00541619" w:rsidRPr="00615171">
        <w:rPr>
          <w:rFonts w:asciiTheme="majorBidi" w:hAnsiTheme="majorBidi" w:cstheme="majorBidi"/>
          <w:color w:val="000000" w:themeColor="text1"/>
          <w:sz w:val="24"/>
          <w:szCs w:val="24"/>
        </w:rPr>
        <w:t>working age people</w:t>
      </w:r>
      <w:r w:rsidR="003041C2" w:rsidRPr="00615171">
        <w:rPr>
          <w:rFonts w:asciiTheme="majorBidi" w:hAnsiTheme="majorBidi" w:cstheme="majorBidi"/>
          <w:color w:val="000000" w:themeColor="text1"/>
          <w:sz w:val="24"/>
          <w:szCs w:val="24"/>
        </w:rPr>
        <w:t xml:space="preserve"> (</w:t>
      </w:r>
      <w:proofErr w:type="spellStart"/>
      <w:r w:rsidR="003041C2" w:rsidRPr="00615171">
        <w:rPr>
          <w:rFonts w:asciiTheme="majorBidi" w:hAnsiTheme="majorBidi" w:cstheme="majorBidi"/>
          <w:bCs/>
          <w:color w:val="000000" w:themeColor="text1"/>
          <w:sz w:val="24"/>
          <w:szCs w:val="24"/>
        </w:rPr>
        <w:t>McMunn</w:t>
      </w:r>
      <w:proofErr w:type="spellEnd"/>
      <w:r w:rsidR="003041C2" w:rsidRPr="00615171">
        <w:rPr>
          <w:rFonts w:asciiTheme="majorBidi" w:hAnsiTheme="majorBidi" w:cstheme="majorBidi"/>
          <w:bCs/>
          <w:color w:val="000000" w:themeColor="text1"/>
          <w:sz w:val="24"/>
          <w:szCs w:val="24"/>
        </w:rPr>
        <w:t xml:space="preserve"> </w:t>
      </w:r>
      <w:r w:rsidR="002E5F20" w:rsidRPr="00615171">
        <w:rPr>
          <w:rFonts w:asciiTheme="majorBidi" w:hAnsiTheme="majorBidi" w:cstheme="majorBidi"/>
          <w:bCs/>
          <w:i/>
          <w:color w:val="000000" w:themeColor="text1"/>
          <w:sz w:val="24"/>
          <w:szCs w:val="24"/>
        </w:rPr>
        <w:t>et al.</w:t>
      </w:r>
      <w:r w:rsidR="00DE78A2" w:rsidRPr="00615171">
        <w:rPr>
          <w:rFonts w:asciiTheme="majorBidi" w:hAnsiTheme="majorBidi" w:cstheme="majorBidi"/>
          <w:color w:val="000000" w:themeColor="text1"/>
          <w:sz w:val="24"/>
          <w:szCs w:val="24"/>
        </w:rPr>
        <w:t>, 2009).</w:t>
      </w:r>
      <w:r w:rsidR="003041C2" w:rsidRPr="00615171">
        <w:rPr>
          <w:rFonts w:asciiTheme="majorBidi" w:hAnsiTheme="majorBidi" w:cstheme="majorBidi"/>
          <w:color w:val="000000" w:themeColor="text1"/>
          <w:sz w:val="24"/>
          <w:szCs w:val="24"/>
        </w:rPr>
        <w:t xml:space="preserve"> </w:t>
      </w:r>
      <w:r w:rsidR="00943DC1" w:rsidRPr="00615171">
        <w:rPr>
          <w:rFonts w:asciiTheme="majorBidi" w:hAnsiTheme="majorBidi" w:cstheme="majorBidi"/>
          <w:color w:val="000000" w:themeColor="text1"/>
          <w:sz w:val="24"/>
          <w:szCs w:val="24"/>
        </w:rPr>
        <w:t>T</w:t>
      </w:r>
      <w:r w:rsidR="00E661DD" w:rsidRPr="00615171">
        <w:rPr>
          <w:rFonts w:asciiTheme="majorBidi" w:hAnsiTheme="majorBidi" w:cstheme="majorBidi"/>
          <w:color w:val="000000" w:themeColor="text1"/>
          <w:sz w:val="24"/>
          <w:szCs w:val="24"/>
        </w:rPr>
        <w:t>he</w:t>
      </w:r>
      <w:r w:rsidR="00C33254" w:rsidRPr="00615171">
        <w:rPr>
          <w:rFonts w:asciiTheme="majorBidi" w:hAnsiTheme="majorBidi" w:cstheme="majorBidi"/>
          <w:color w:val="000000" w:themeColor="text1"/>
          <w:sz w:val="24"/>
          <w:szCs w:val="24"/>
        </w:rPr>
        <w:t>se</w:t>
      </w:r>
      <w:r w:rsidR="003041C2" w:rsidRPr="00615171">
        <w:rPr>
          <w:rFonts w:asciiTheme="majorBidi" w:hAnsiTheme="majorBidi" w:cstheme="majorBidi"/>
          <w:color w:val="000000" w:themeColor="text1"/>
          <w:sz w:val="24"/>
          <w:szCs w:val="24"/>
        </w:rPr>
        <w:t xml:space="preserve"> variations in the findings may</w:t>
      </w:r>
      <w:r w:rsidR="00943DC1" w:rsidRPr="00615171">
        <w:rPr>
          <w:rFonts w:asciiTheme="majorBidi" w:hAnsiTheme="majorBidi" w:cstheme="majorBidi"/>
          <w:color w:val="000000" w:themeColor="text1"/>
          <w:sz w:val="24"/>
          <w:szCs w:val="24"/>
        </w:rPr>
        <w:t xml:space="preserve"> </w:t>
      </w:r>
      <w:r w:rsidR="00C33254" w:rsidRPr="00615171">
        <w:rPr>
          <w:rFonts w:asciiTheme="majorBidi" w:hAnsiTheme="majorBidi" w:cstheme="majorBidi"/>
          <w:color w:val="000000" w:themeColor="text1"/>
          <w:sz w:val="24"/>
          <w:szCs w:val="24"/>
        </w:rPr>
        <w:t xml:space="preserve">be </w:t>
      </w:r>
      <w:r w:rsidR="00943DC1" w:rsidRPr="00615171">
        <w:rPr>
          <w:rFonts w:asciiTheme="majorBidi" w:hAnsiTheme="majorBidi" w:cstheme="majorBidi"/>
          <w:color w:val="000000" w:themeColor="text1"/>
          <w:sz w:val="24"/>
          <w:szCs w:val="24"/>
        </w:rPr>
        <w:t>partly</w:t>
      </w:r>
      <w:r w:rsidR="003041C2" w:rsidRPr="00615171">
        <w:rPr>
          <w:rFonts w:asciiTheme="majorBidi" w:hAnsiTheme="majorBidi" w:cstheme="majorBidi"/>
          <w:color w:val="000000" w:themeColor="text1"/>
          <w:sz w:val="24"/>
          <w:szCs w:val="24"/>
        </w:rPr>
        <w:t xml:space="preserve"> due to </w:t>
      </w:r>
      <w:r w:rsidR="00E661DD" w:rsidRPr="00615171">
        <w:rPr>
          <w:rFonts w:asciiTheme="majorBidi" w:hAnsiTheme="majorBidi" w:cstheme="majorBidi"/>
          <w:color w:val="000000" w:themeColor="text1"/>
          <w:sz w:val="24"/>
          <w:szCs w:val="24"/>
        </w:rPr>
        <w:t xml:space="preserve">the </w:t>
      </w:r>
      <w:r w:rsidR="003041C2" w:rsidRPr="00615171">
        <w:rPr>
          <w:rFonts w:asciiTheme="majorBidi" w:hAnsiTheme="majorBidi" w:cstheme="majorBidi"/>
          <w:color w:val="000000" w:themeColor="text1"/>
          <w:sz w:val="24"/>
          <w:szCs w:val="24"/>
        </w:rPr>
        <w:t xml:space="preserve">use of different indicators </w:t>
      </w:r>
      <w:r w:rsidR="00FC41C0" w:rsidRPr="00615171">
        <w:rPr>
          <w:rFonts w:asciiTheme="majorBidi" w:hAnsiTheme="majorBidi" w:cstheme="majorBidi"/>
          <w:color w:val="000000" w:themeColor="text1"/>
          <w:sz w:val="24"/>
          <w:szCs w:val="24"/>
        </w:rPr>
        <w:t xml:space="preserve">and </w:t>
      </w:r>
      <w:r w:rsidR="00C33254" w:rsidRPr="00615171">
        <w:rPr>
          <w:rFonts w:asciiTheme="majorBidi" w:hAnsiTheme="majorBidi" w:cstheme="majorBidi"/>
          <w:color w:val="000000" w:themeColor="text1"/>
          <w:sz w:val="24"/>
          <w:szCs w:val="24"/>
        </w:rPr>
        <w:t xml:space="preserve">the measures used </w:t>
      </w:r>
      <w:r w:rsidR="00834F85" w:rsidRPr="00615171">
        <w:rPr>
          <w:rFonts w:asciiTheme="majorBidi" w:hAnsiTheme="majorBidi" w:cstheme="majorBidi"/>
          <w:color w:val="000000" w:themeColor="text1"/>
          <w:sz w:val="24"/>
          <w:szCs w:val="24"/>
        </w:rPr>
        <w:t>to define</w:t>
      </w:r>
      <w:r w:rsidR="003041C2" w:rsidRPr="00615171">
        <w:rPr>
          <w:rFonts w:asciiTheme="majorBidi" w:hAnsiTheme="majorBidi" w:cstheme="majorBidi"/>
          <w:color w:val="000000" w:themeColor="text1"/>
          <w:sz w:val="24"/>
          <w:szCs w:val="24"/>
        </w:rPr>
        <w:t xml:space="preserve"> socio-economic positions</w:t>
      </w:r>
      <w:r w:rsidR="004F2616" w:rsidRPr="00615171">
        <w:rPr>
          <w:rFonts w:asciiTheme="majorBidi" w:hAnsiTheme="majorBidi" w:cstheme="majorBidi"/>
          <w:color w:val="000000" w:themeColor="text1"/>
          <w:sz w:val="24"/>
          <w:szCs w:val="24"/>
        </w:rPr>
        <w:t xml:space="preserve"> as well as competing hypotheses such as those on cumulative disadvantage (</w:t>
      </w:r>
      <w:proofErr w:type="spellStart"/>
      <w:r w:rsidR="004F2616" w:rsidRPr="00615171">
        <w:rPr>
          <w:rFonts w:asciiTheme="majorBidi" w:hAnsiTheme="majorBidi" w:cstheme="majorBidi"/>
          <w:color w:val="000000" w:themeColor="text1"/>
          <w:sz w:val="24"/>
          <w:szCs w:val="24"/>
        </w:rPr>
        <w:t>Dannefer</w:t>
      </w:r>
      <w:proofErr w:type="spellEnd"/>
      <w:r w:rsidR="004F2616" w:rsidRPr="00615171">
        <w:rPr>
          <w:rFonts w:asciiTheme="majorBidi" w:hAnsiTheme="majorBidi" w:cstheme="majorBidi"/>
          <w:color w:val="000000" w:themeColor="text1"/>
          <w:sz w:val="24"/>
          <w:szCs w:val="24"/>
        </w:rPr>
        <w:t xml:space="preserve">, 2003) </w:t>
      </w:r>
      <w:r w:rsidR="00B158B3" w:rsidRPr="00615171">
        <w:rPr>
          <w:rFonts w:asciiTheme="majorBidi" w:hAnsiTheme="majorBidi" w:cstheme="majorBidi"/>
          <w:color w:val="000000" w:themeColor="text1"/>
          <w:sz w:val="24"/>
          <w:szCs w:val="24"/>
        </w:rPr>
        <w:t xml:space="preserve">and </w:t>
      </w:r>
      <w:r w:rsidR="004F2616" w:rsidRPr="00615171">
        <w:rPr>
          <w:rFonts w:asciiTheme="majorBidi" w:hAnsiTheme="majorBidi" w:cstheme="majorBidi"/>
          <w:color w:val="000000" w:themeColor="text1"/>
          <w:sz w:val="24"/>
          <w:szCs w:val="24"/>
        </w:rPr>
        <w:t xml:space="preserve">from ‘divergence/convergence’ theories (Beckett, 2000) where age becomes a levelling factor. </w:t>
      </w:r>
      <w:r w:rsidR="004B5B50" w:rsidRPr="00615171">
        <w:rPr>
          <w:rFonts w:asciiTheme="majorBidi" w:hAnsiTheme="majorBidi" w:cstheme="majorBidi"/>
          <w:color w:val="000000" w:themeColor="text1"/>
          <w:sz w:val="24"/>
          <w:szCs w:val="24"/>
        </w:rPr>
        <w:t xml:space="preserve">As the relevance of the determinants of </w:t>
      </w:r>
      <w:r w:rsidR="00EE1310" w:rsidRPr="00615171">
        <w:rPr>
          <w:rFonts w:asciiTheme="majorBidi" w:hAnsiTheme="majorBidi" w:cstheme="majorBidi"/>
          <w:color w:val="000000" w:themeColor="text1"/>
          <w:sz w:val="24"/>
          <w:szCs w:val="24"/>
        </w:rPr>
        <w:t>SES</w:t>
      </w:r>
      <w:r w:rsidR="004B5B50" w:rsidRPr="00615171">
        <w:rPr>
          <w:rFonts w:asciiTheme="majorBidi" w:hAnsiTheme="majorBidi" w:cstheme="majorBidi"/>
          <w:color w:val="000000" w:themeColor="text1"/>
          <w:sz w:val="24"/>
          <w:szCs w:val="24"/>
        </w:rPr>
        <w:t xml:space="preserve"> </w:t>
      </w:r>
      <w:r w:rsidR="00C33254" w:rsidRPr="00615171">
        <w:rPr>
          <w:rFonts w:asciiTheme="majorBidi" w:hAnsiTheme="majorBidi" w:cstheme="majorBidi"/>
          <w:color w:val="000000" w:themeColor="text1"/>
          <w:sz w:val="24"/>
          <w:szCs w:val="24"/>
        </w:rPr>
        <w:t xml:space="preserve">may </w:t>
      </w:r>
      <w:r w:rsidR="004B5B50" w:rsidRPr="00615171">
        <w:rPr>
          <w:rFonts w:asciiTheme="majorBidi" w:hAnsiTheme="majorBidi" w:cstheme="majorBidi"/>
          <w:color w:val="000000" w:themeColor="text1"/>
          <w:sz w:val="24"/>
          <w:szCs w:val="24"/>
        </w:rPr>
        <w:t>var</w:t>
      </w:r>
      <w:r w:rsidR="00E661DD" w:rsidRPr="00615171">
        <w:rPr>
          <w:rFonts w:asciiTheme="majorBidi" w:hAnsiTheme="majorBidi" w:cstheme="majorBidi"/>
          <w:color w:val="000000" w:themeColor="text1"/>
          <w:sz w:val="24"/>
          <w:szCs w:val="24"/>
        </w:rPr>
        <w:t>y</w:t>
      </w:r>
      <w:r w:rsidR="004B5B50" w:rsidRPr="00615171">
        <w:rPr>
          <w:rFonts w:asciiTheme="majorBidi" w:hAnsiTheme="majorBidi" w:cstheme="majorBidi"/>
          <w:color w:val="000000" w:themeColor="text1"/>
          <w:sz w:val="24"/>
          <w:szCs w:val="24"/>
        </w:rPr>
        <w:t xml:space="preserve"> over the life course, measuring </w:t>
      </w:r>
      <w:r w:rsidR="00E661DD" w:rsidRPr="00615171">
        <w:rPr>
          <w:rFonts w:asciiTheme="majorBidi" w:hAnsiTheme="majorBidi" w:cstheme="majorBidi"/>
          <w:color w:val="000000" w:themeColor="text1"/>
          <w:sz w:val="24"/>
          <w:szCs w:val="24"/>
        </w:rPr>
        <w:t xml:space="preserve">the </w:t>
      </w:r>
      <w:r w:rsidR="004B5B50" w:rsidRPr="00615171">
        <w:rPr>
          <w:rFonts w:asciiTheme="majorBidi" w:hAnsiTheme="majorBidi" w:cstheme="majorBidi"/>
          <w:color w:val="000000" w:themeColor="text1"/>
          <w:sz w:val="24"/>
          <w:szCs w:val="24"/>
        </w:rPr>
        <w:t xml:space="preserve">SES of older people </w:t>
      </w:r>
      <w:r w:rsidR="00C33254" w:rsidRPr="00615171">
        <w:rPr>
          <w:rFonts w:asciiTheme="majorBidi" w:hAnsiTheme="majorBidi" w:cstheme="majorBidi"/>
          <w:color w:val="000000" w:themeColor="text1"/>
          <w:sz w:val="24"/>
          <w:szCs w:val="24"/>
        </w:rPr>
        <w:t>poses</w:t>
      </w:r>
      <w:r w:rsidR="004B5B50" w:rsidRPr="00615171">
        <w:rPr>
          <w:rFonts w:asciiTheme="majorBidi" w:hAnsiTheme="majorBidi" w:cstheme="majorBidi"/>
          <w:color w:val="000000" w:themeColor="text1"/>
          <w:sz w:val="24"/>
          <w:szCs w:val="24"/>
        </w:rPr>
        <w:t xml:space="preserve"> particular </w:t>
      </w:r>
      <w:r w:rsidR="00834F85" w:rsidRPr="00615171">
        <w:rPr>
          <w:rFonts w:asciiTheme="majorBidi" w:hAnsiTheme="majorBidi" w:cstheme="majorBidi"/>
          <w:color w:val="000000" w:themeColor="text1"/>
          <w:sz w:val="24"/>
          <w:szCs w:val="24"/>
        </w:rPr>
        <w:t>challenges</w:t>
      </w:r>
      <w:r w:rsidR="00233185" w:rsidRPr="00615171">
        <w:rPr>
          <w:rFonts w:asciiTheme="majorBidi" w:hAnsiTheme="majorBidi" w:cstheme="majorBidi"/>
          <w:color w:val="000000" w:themeColor="text1"/>
          <w:sz w:val="24"/>
          <w:szCs w:val="24"/>
        </w:rPr>
        <w:t xml:space="preserve">. </w:t>
      </w:r>
      <w:r w:rsidR="00DE6461" w:rsidRPr="00615171">
        <w:rPr>
          <w:rFonts w:asciiTheme="majorBidi" w:hAnsiTheme="majorBidi" w:cstheme="majorBidi"/>
          <w:color w:val="000000" w:themeColor="text1"/>
          <w:sz w:val="24"/>
          <w:szCs w:val="24"/>
        </w:rPr>
        <w:t>Firstly in the post-working population, there are technical questions about the utility of occupational class and other indicators of socio-economic position to study health statuses (Rees Jones and Higgs, 2013). Secondly, incorporating indicators of cla</w:t>
      </w:r>
      <w:r w:rsidR="009C3B2A" w:rsidRPr="00615171">
        <w:rPr>
          <w:rFonts w:asciiTheme="majorBidi" w:hAnsiTheme="majorBidi" w:cstheme="majorBidi"/>
          <w:color w:val="000000" w:themeColor="text1"/>
          <w:sz w:val="24"/>
          <w:szCs w:val="24"/>
        </w:rPr>
        <w:t>ss</w:t>
      </w:r>
      <w:r w:rsidR="00DE6461" w:rsidRPr="00615171">
        <w:rPr>
          <w:rFonts w:asciiTheme="majorBidi" w:hAnsiTheme="majorBidi" w:cstheme="majorBidi"/>
          <w:color w:val="000000" w:themeColor="text1"/>
          <w:sz w:val="24"/>
          <w:szCs w:val="24"/>
        </w:rPr>
        <w:t>, status, wealth,</w:t>
      </w:r>
      <w:r w:rsidR="009C3B2A" w:rsidRPr="00615171">
        <w:rPr>
          <w:rFonts w:asciiTheme="majorBidi" w:hAnsiTheme="majorBidi" w:cstheme="majorBidi"/>
          <w:color w:val="000000" w:themeColor="text1"/>
          <w:sz w:val="24"/>
          <w:szCs w:val="24"/>
        </w:rPr>
        <w:t xml:space="preserve"> income, and deprivation with how these interact with other important factors in later life such as retirement status, gender, ethnicity to assess their impact on health status within a relatively lengthy post-</w:t>
      </w:r>
      <w:r w:rsidR="00E653C5" w:rsidRPr="00615171">
        <w:rPr>
          <w:rFonts w:asciiTheme="majorBidi" w:hAnsiTheme="majorBidi" w:cstheme="majorBidi"/>
          <w:color w:val="000000" w:themeColor="text1"/>
          <w:sz w:val="24"/>
          <w:szCs w:val="24"/>
        </w:rPr>
        <w:t>working life</w:t>
      </w:r>
      <w:r w:rsidR="009C3B2A" w:rsidRPr="00615171">
        <w:rPr>
          <w:rFonts w:asciiTheme="majorBidi" w:hAnsiTheme="majorBidi" w:cstheme="majorBidi"/>
          <w:color w:val="000000" w:themeColor="text1"/>
          <w:sz w:val="24"/>
          <w:szCs w:val="24"/>
        </w:rPr>
        <w:t xml:space="preserve"> has not been fully </w:t>
      </w:r>
      <w:r w:rsidR="00215980" w:rsidRPr="00615171">
        <w:rPr>
          <w:rFonts w:asciiTheme="majorBidi" w:hAnsiTheme="majorBidi" w:cstheme="majorBidi"/>
          <w:color w:val="000000" w:themeColor="text1"/>
          <w:sz w:val="24"/>
          <w:szCs w:val="24"/>
        </w:rPr>
        <w:t>addressed within</w:t>
      </w:r>
      <w:r w:rsidR="009C3B2A" w:rsidRPr="00615171">
        <w:rPr>
          <w:rFonts w:asciiTheme="majorBidi" w:hAnsiTheme="majorBidi" w:cstheme="majorBidi"/>
          <w:color w:val="000000" w:themeColor="text1"/>
          <w:sz w:val="24"/>
          <w:szCs w:val="24"/>
        </w:rPr>
        <w:t xml:space="preserve"> current studies. </w:t>
      </w:r>
      <w:r w:rsidR="00A90DC3" w:rsidRPr="00615171">
        <w:rPr>
          <w:rFonts w:asciiTheme="majorBidi" w:hAnsiTheme="majorBidi" w:cstheme="majorBidi"/>
          <w:color w:val="000000" w:themeColor="text1"/>
          <w:sz w:val="24"/>
          <w:szCs w:val="24"/>
        </w:rPr>
        <w:t xml:space="preserve">Thus, it is </w:t>
      </w:r>
      <w:r w:rsidR="006516D6" w:rsidRPr="00615171">
        <w:rPr>
          <w:rFonts w:asciiTheme="majorBidi" w:hAnsiTheme="majorBidi" w:cstheme="majorBidi"/>
          <w:color w:val="000000" w:themeColor="text1"/>
          <w:sz w:val="24"/>
          <w:szCs w:val="24"/>
        </w:rPr>
        <w:t>of</w:t>
      </w:r>
      <w:r w:rsidR="00A90DC3" w:rsidRPr="00615171">
        <w:rPr>
          <w:rFonts w:asciiTheme="majorBidi" w:hAnsiTheme="majorBidi" w:cstheme="majorBidi"/>
          <w:color w:val="000000" w:themeColor="text1"/>
          <w:sz w:val="24"/>
          <w:szCs w:val="24"/>
        </w:rPr>
        <w:t xml:space="preserve"> particular interest </w:t>
      </w:r>
      <w:r w:rsidR="006516D6" w:rsidRPr="00615171">
        <w:rPr>
          <w:rFonts w:asciiTheme="majorBidi" w:hAnsiTheme="majorBidi" w:cstheme="majorBidi"/>
          <w:color w:val="000000" w:themeColor="text1"/>
          <w:sz w:val="24"/>
          <w:szCs w:val="24"/>
        </w:rPr>
        <w:t xml:space="preserve">to </w:t>
      </w:r>
      <w:r w:rsidR="006E2B88" w:rsidRPr="00615171">
        <w:rPr>
          <w:rFonts w:asciiTheme="majorBidi" w:hAnsiTheme="majorBidi" w:cstheme="majorBidi"/>
          <w:color w:val="000000" w:themeColor="text1"/>
          <w:sz w:val="24"/>
          <w:szCs w:val="24"/>
        </w:rPr>
        <w:t>identify</w:t>
      </w:r>
      <w:r w:rsidR="006516D6" w:rsidRPr="00615171">
        <w:rPr>
          <w:rFonts w:asciiTheme="majorBidi" w:hAnsiTheme="majorBidi" w:cstheme="majorBidi"/>
          <w:color w:val="000000" w:themeColor="text1"/>
          <w:sz w:val="24"/>
          <w:szCs w:val="24"/>
        </w:rPr>
        <w:t xml:space="preserve"> which SES indicator</w:t>
      </w:r>
      <w:r w:rsidR="00834F85" w:rsidRPr="00615171">
        <w:rPr>
          <w:rFonts w:asciiTheme="majorBidi" w:hAnsiTheme="majorBidi" w:cstheme="majorBidi"/>
          <w:color w:val="000000" w:themeColor="text1"/>
          <w:sz w:val="24"/>
          <w:szCs w:val="24"/>
        </w:rPr>
        <w:t>s are</w:t>
      </w:r>
      <w:r w:rsidR="006516D6" w:rsidRPr="00615171">
        <w:rPr>
          <w:rFonts w:asciiTheme="majorBidi" w:hAnsiTheme="majorBidi" w:cstheme="majorBidi"/>
          <w:color w:val="000000" w:themeColor="text1"/>
          <w:sz w:val="24"/>
          <w:szCs w:val="24"/>
        </w:rPr>
        <w:t xml:space="preserve"> </w:t>
      </w:r>
      <w:r w:rsidR="009C3B2A" w:rsidRPr="00615171">
        <w:rPr>
          <w:rFonts w:asciiTheme="majorBidi" w:hAnsiTheme="majorBidi" w:cstheme="majorBidi"/>
          <w:color w:val="000000" w:themeColor="text1"/>
          <w:sz w:val="24"/>
          <w:szCs w:val="24"/>
        </w:rPr>
        <w:t>the most significant</w:t>
      </w:r>
      <w:r w:rsidR="006516D6" w:rsidRPr="00615171">
        <w:rPr>
          <w:rFonts w:asciiTheme="majorBidi" w:hAnsiTheme="majorBidi" w:cstheme="majorBidi"/>
          <w:color w:val="000000" w:themeColor="text1"/>
          <w:sz w:val="24"/>
          <w:szCs w:val="24"/>
        </w:rPr>
        <w:t xml:space="preserve"> for measuring the health inequalities of older people</w:t>
      </w:r>
      <w:r w:rsidR="00A56404" w:rsidRPr="00615171">
        <w:rPr>
          <w:rFonts w:asciiTheme="majorBidi" w:hAnsiTheme="majorBidi" w:cstheme="majorBidi"/>
          <w:color w:val="000000" w:themeColor="text1"/>
          <w:sz w:val="24"/>
          <w:szCs w:val="24"/>
        </w:rPr>
        <w:t xml:space="preserve"> in the UK</w:t>
      </w:r>
      <w:r w:rsidR="009C3B2A" w:rsidRPr="00615171">
        <w:rPr>
          <w:rFonts w:asciiTheme="majorBidi" w:hAnsiTheme="majorBidi" w:cstheme="majorBidi"/>
          <w:color w:val="000000" w:themeColor="text1"/>
          <w:sz w:val="24"/>
          <w:szCs w:val="24"/>
        </w:rPr>
        <w:t xml:space="preserve"> and how to use these analyses to inform policy and related interventions to promote successful ageing</w:t>
      </w:r>
      <w:r w:rsidR="00720028" w:rsidRPr="00615171">
        <w:rPr>
          <w:rFonts w:asciiTheme="majorBidi" w:hAnsiTheme="majorBidi" w:cstheme="majorBidi"/>
          <w:color w:val="000000" w:themeColor="text1"/>
          <w:sz w:val="24"/>
          <w:szCs w:val="24"/>
        </w:rPr>
        <w:t xml:space="preserve"> and</w:t>
      </w:r>
      <w:r w:rsidR="00E653C5" w:rsidRPr="00615171">
        <w:rPr>
          <w:rFonts w:asciiTheme="majorBidi" w:hAnsiTheme="majorBidi" w:cstheme="majorBidi"/>
          <w:color w:val="000000" w:themeColor="text1"/>
          <w:sz w:val="24"/>
          <w:szCs w:val="24"/>
        </w:rPr>
        <w:t xml:space="preserve"> to think about how resources are directed towards these.</w:t>
      </w:r>
      <w:r w:rsidR="00720028" w:rsidRPr="00615171">
        <w:rPr>
          <w:rFonts w:asciiTheme="majorBidi" w:hAnsiTheme="majorBidi" w:cstheme="majorBidi"/>
          <w:color w:val="000000" w:themeColor="text1"/>
          <w:sz w:val="24"/>
          <w:szCs w:val="24"/>
        </w:rPr>
        <w:t xml:space="preserve"> More research is needed to explore the extent of socio-economic inequalities in particular user groups within ageing for example, those with high support needs </w:t>
      </w:r>
      <w:r w:rsidR="00AF6DB8" w:rsidRPr="00615171">
        <w:rPr>
          <w:rFonts w:asciiTheme="majorBidi" w:hAnsiTheme="majorBidi" w:cstheme="majorBidi"/>
          <w:color w:val="000000" w:themeColor="text1"/>
          <w:sz w:val="24"/>
          <w:szCs w:val="24"/>
        </w:rPr>
        <w:t>accessing</w:t>
      </w:r>
      <w:r w:rsidR="00720028" w:rsidRPr="00615171">
        <w:rPr>
          <w:rFonts w:asciiTheme="majorBidi" w:hAnsiTheme="majorBidi" w:cstheme="majorBidi"/>
          <w:color w:val="000000" w:themeColor="text1"/>
          <w:sz w:val="24"/>
          <w:szCs w:val="24"/>
        </w:rPr>
        <w:t xml:space="preserve"> health and social care.  Further consideration is also needed to determine whether inequalities that favour old people from lower SES can be justified on the grounds of fairness (Equality and Human Rights Commission</w:t>
      </w:r>
      <w:r w:rsidR="007F0E9E" w:rsidRPr="00615171">
        <w:rPr>
          <w:rFonts w:asciiTheme="majorBidi" w:hAnsiTheme="majorBidi" w:cstheme="majorBidi"/>
          <w:color w:val="000000" w:themeColor="text1"/>
          <w:sz w:val="24"/>
          <w:szCs w:val="24"/>
        </w:rPr>
        <w:t>, 2009</w:t>
      </w:r>
      <w:proofErr w:type="gramStart"/>
      <w:r w:rsidR="00C226A2" w:rsidRPr="00615171">
        <w:rPr>
          <w:rFonts w:asciiTheme="majorBidi" w:hAnsiTheme="majorBidi" w:cstheme="majorBidi"/>
          <w:color w:val="000000" w:themeColor="text1"/>
          <w:sz w:val="24"/>
          <w:szCs w:val="24"/>
        </w:rPr>
        <w:t>)</w:t>
      </w:r>
      <w:r w:rsidR="00720028" w:rsidRPr="00615171">
        <w:rPr>
          <w:rFonts w:asciiTheme="majorBidi" w:hAnsiTheme="majorBidi" w:cstheme="majorBidi"/>
          <w:color w:val="000000" w:themeColor="text1"/>
          <w:sz w:val="24"/>
          <w:szCs w:val="24"/>
        </w:rPr>
        <w:t xml:space="preserve"> .</w:t>
      </w:r>
      <w:proofErr w:type="gramEnd"/>
    </w:p>
    <w:p w14:paraId="17A2D8A7" w14:textId="77777777" w:rsidR="00444C0B" w:rsidRPr="00615171" w:rsidRDefault="00444C0B" w:rsidP="002D773C">
      <w:pPr>
        <w:spacing w:after="0" w:line="240" w:lineRule="auto"/>
        <w:ind w:firstLine="720"/>
        <w:jc w:val="both"/>
        <w:rPr>
          <w:rFonts w:asciiTheme="majorBidi" w:hAnsiTheme="majorBidi" w:cstheme="majorBidi"/>
          <w:color w:val="000000" w:themeColor="text1"/>
          <w:sz w:val="24"/>
          <w:szCs w:val="24"/>
        </w:rPr>
      </w:pPr>
    </w:p>
    <w:p w14:paraId="26140212" w14:textId="020ED483" w:rsidR="00DF4316" w:rsidRPr="00615171" w:rsidRDefault="00E653C5" w:rsidP="00DF4316">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Within the above context, t</w:t>
      </w:r>
      <w:r w:rsidR="00DF4316" w:rsidRPr="00615171">
        <w:rPr>
          <w:rFonts w:asciiTheme="majorBidi" w:hAnsiTheme="majorBidi" w:cstheme="majorBidi"/>
          <w:color w:val="000000" w:themeColor="text1"/>
          <w:sz w:val="24"/>
          <w:szCs w:val="24"/>
        </w:rPr>
        <w:t xml:space="preserve">his paper </w:t>
      </w:r>
      <w:r w:rsidR="00834F85" w:rsidRPr="00615171">
        <w:rPr>
          <w:rFonts w:asciiTheme="majorBidi" w:hAnsiTheme="majorBidi" w:cstheme="majorBidi"/>
          <w:color w:val="000000" w:themeColor="text1"/>
          <w:sz w:val="24"/>
          <w:szCs w:val="24"/>
        </w:rPr>
        <w:t xml:space="preserve">specifically </w:t>
      </w:r>
      <w:r w:rsidR="00DF4316" w:rsidRPr="00615171">
        <w:rPr>
          <w:rFonts w:asciiTheme="majorBidi" w:hAnsiTheme="majorBidi" w:cstheme="majorBidi"/>
          <w:color w:val="000000" w:themeColor="text1"/>
          <w:sz w:val="24"/>
          <w:szCs w:val="24"/>
        </w:rPr>
        <w:t>examine</w:t>
      </w:r>
      <w:r w:rsidR="00834F85" w:rsidRPr="00615171">
        <w:rPr>
          <w:rFonts w:asciiTheme="majorBidi" w:hAnsiTheme="majorBidi" w:cstheme="majorBidi"/>
          <w:color w:val="000000" w:themeColor="text1"/>
          <w:sz w:val="24"/>
          <w:szCs w:val="24"/>
        </w:rPr>
        <w:t>s</w:t>
      </w:r>
      <w:r w:rsidR="00DF4316" w:rsidRPr="00615171">
        <w:rPr>
          <w:rFonts w:asciiTheme="majorBidi" w:hAnsiTheme="majorBidi" w:cstheme="majorBidi"/>
          <w:color w:val="000000" w:themeColor="text1"/>
          <w:sz w:val="24"/>
          <w:szCs w:val="24"/>
        </w:rPr>
        <w:t xml:space="preserve"> the relationship between SES and health outcomes among</w:t>
      </w:r>
      <w:r w:rsidR="002D480F" w:rsidRPr="00615171">
        <w:rPr>
          <w:rFonts w:asciiTheme="majorBidi" w:hAnsiTheme="majorBidi" w:cstheme="majorBidi"/>
          <w:color w:val="000000" w:themeColor="text1"/>
          <w:sz w:val="24"/>
          <w:szCs w:val="24"/>
        </w:rPr>
        <w:t xml:space="preserve"> the </w:t>
      </w:r>
      <w:r w:rsidR="00C33254" w:rsidRPr="00615171">
        <w:rPr>
          <w:rFonts w:asciiTheme="majorBidi" w:hAnsiTheme="majorBidi" w:cstheme="majorBidi"/>
          <w:color w:val="000000" w:themeColor="text1"/>
          <w:sz w:val="24"/>
          <w:szCs w:val="24"/>
        </w:rPr>
        <w:t>ageing</w:t>
      </w:r>
      <w:r w:rsidR="00DF4316" w:rsidRPr="00615171">
        <w:rPr>
          <w:rFonts w:asciiTheme="majorBidi" w:hAnsiTheme="majorBidi" w:cstheme="majorBidi"/>
          <w:color w:val="000000" w:themeColor="text1"/>
          <w:sz w:val="24"/>
          <w:szCs w:val="24"/>
        </w:rPr>
        <w:t xml:space="preserve"> population in the UK</w:t>
      </w:r>
      <w:r w:rsidR="00834F85"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 xml:space="preserve">Through a </w:t>
      </w:r>
      <w:r w:rsidR="00720028" w:rsidRPr="00615171">
        <w:rPr>
          <w:rFonts w:asciiTheme="majorBidi" w:hAnsiTheme="majorBidi" w:cstheme="majorBidi"/>
          <w:color w:val="000000" w:themeColor="text1"/>
          <w:sz w:val="24"/>
          <w:szCs w:val="24"/>
        </w:rPr>
        <w:t xml:space="preserve">critical and reflective </w:t>
      </w:r>
      <w:r w:rsidRPr="00615171">
        <w:rPr>
          <w:rFonts w:asciiTheme="majorBidi" w:hAnsiTheme="majorBidi" w:cstheme="majorBidi"/>
          <w:color w:val="000000" w:themeColor="text1"/>
          <w:sz w:val="24"/>
          <w:szCs w:val="24"/>
        </w:rPr>
        <w:t xml:space="preserve">review of </w:t>
      </w:r>
      <w:r w:rsidR="00834F85" w:rsidRPr="00615171">
        <w:rPr>
          <w:rFonts w:asciiTheme="majorBidi" w:hAnsiTheme="majorBidi" w:cstheme="majorBidi"/>
          <w:color w:val="000000" w:themeColor="text1"/>
          <w:sz w:val="24"/>
          <w:szCs w:val="24"/>
        </w:rPr>
        <w:t>key</w:t>
      </w:r>
      <w:r w:rsidR="00DF4316" w:rsidRPr="00615171">
        <w:rPr>
          <w:rFonts w:asciiTheme="majorBidi" w:hAnsiTheme="majorBidi" w:cstheme="majorBidi"/>
          <w:color w:val="000000" w:themeColor="text1"/>
          <w:sz w:val="24"/>
          <w:szCs w:val="24"/>
        </w:rPr>
        <w:t xml:space="preserve"> relevant publications in this field</w:t>
      </w:r>
      <w:r w:rsidRPr="00615171">
        <w:rPr>
          <w:rFonts w:asciiTheme="majorBidi" w:hAnsiTheme="majorBidi" w:cstheme="majorBidi"/>
          <w:color w:val="000000" w:themeColor="text1"/>
          <w:sz w:val="24"/>
          <w:szCs w:val="24"/>
        </w:rPr>
        <w:t>, we</w:t>
      </w:r>
      <w:r w:rsidR="00B90EA7" w:rsidRPr="00615171">
        <w:rPr>
          <w:rFonts w:asciiTheme="majorBidi" w:hAnsiTheme="majorBidi" w:cstheme="majorBidi"/>
          <w:color w:val="000000" w:themeColor="text1"/>
          <w:sz w:val="24"/>
          <w:szCs w:val="24"/>
        </w:rPr>
        <w:t xml:space="preserve"> discuss</w:t>
      </w:r>
      <w:r w:rsidR="00C33254"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 xml:space="preserve">some of </w:t>
      </w:r>
      <w:r w:rsidR="00C33254" w:rsidRPr="00615171">
        <w:rPr>
          <w:rFonts w:asciiTheme="majorBidi" w:hAnsiTheme="majorBidi" w:cstheme="majorBidi"/>
          <w:color w:val="000000" w:themeColor="text1"/>
          <w:sz w:val="24"/>
          <w:szCs w:val="24"/>
        </w:rPr>
        <w:t xml:space="preserve">the ways in which </w:t>
      </w:r>
      <w:r w:rsidR="00DF4316" w:rsidRPr="00615171">
        <w:rPr>
          <w:rFonts w:asciiTheme="majorBidi" w:hAnsiTheme="majorBidi" w:cstheme="majorBidi"/>
          <w:color w:val="000000" w:themeColor="text1"/>
          <w:sz w:val="24"/>
          <w:szCs w:val="24"/>
        </w:rPr>
        <w:t>SES, health and their causal connection</w:t>
      </w:r>
      <w:r w:rsidR="00244695" w:rsidRPr="00615171">
        <w:rPr>
          <w:rFonts w:asciiTheme="majorBidi" w:hAnsiTheme="majorBidi" w:cstheme="majorBidi"/>
          <w:color w:val="000000" w:themeColor="text1"/>
          <w:sz w:val="24"/>
          <w:szCs w:val="24"/>
        </w:rPr>
        <w:t xml:space="preserve"> </w:t>
      </w:r>
      <w:r w:rsidR="00C33254" w:rsidRPr="00615171">
        <w:rPr>
          <w:rFonts w:asciiTheme="majorBidi" w:hAnsiTheme="majorBidi" w:cstheme="majorBidi"/>
          <w:color w:val="000000" w:themeColor="text1"/>
          <w:sz w:val="24"/>
          <w:szCs w:val="24"/>
        </w:rPr>
        <w:t xml:space="preserve">have been </w:t>
      </w:r>
      <w:r w:rsidRPr="00615171">
        <w:rPr>
          <w:rFonts w:asciiTheme="majorBidi" w:hAnsiTheme="majorBidi" w:cstheme="majorBidi"/>
          <w:color w:val="000000" w:themeColor="text1"/>
          <w:sz w:val="24"/>
          <w:szCs w:val="24"/>
        </w:rPr>
        <w:t xml:space="preserve">traditionally </w:t>
      </w:r>
      <w:r w:rsidR="00C33254" w:rsidRPr="00615171">
        <w:rPr>
          <w:rFonts w:asciiTheme="majorBidi" w:hAnsiTheme="majorBidi" w:cstheme="majorBidi"/>
          <w:color w:val="000000" w:themeColor="text1"/>
          <w:sz w:val="24"/>
          <w:szCs w:val="24"/>
        </w:rPr>
        <w:t>defined</w:t>
      </w:r>
      <w:r w:rsidR="003336B5" w:rsidRPr="00615171">
        <w:rPr>
          <w:rFonts w:asciiTheme="majorBidi" w:hAnsiTheme="majorBidi" w:cstheme="majorBidi"/>
          <w:color w:val="000000" w:themeColor="text1"/>
          <w:sz w:val="24"/>
          <w:szCs w:val="24"/>
        </w:rPr>
        <w:t xml:space="preserve"> and utilised</w:t>
      </w:r>
      <w:r w:rsidR="00C33254" w:rsidRPr="00615171">
        <w:rPr>
          <w:rFonts w:asciiTheme="majorBidi" w:hAnsiTheme="majorBidi" w:cstheme="majorBidi"/>
          <w:color w:val="000000" w:themeColor="text1"/>
          <w:sz w:val="24"/>
          <w:szCs w:val="24"/>
        </w:rPr>
        <w:t xml:space="preserve">.  We then provide </w:t>
      </w:r>
      <w:r w:rsidR="00834F85" w:rsidRPr="00615171">
        <w:rPr>
          <w:rFonts w:asciiTheme="majorBidi" w:hAnsiTheme="majorBidi" w:cstheme="majorBidi"/>
          <w:color w:val="000000" w:themeColor="text1"/>
          <w:sz w:val="24"/>
          <w:szCs w:val="24"/>
        </w:rPr>
        <w:t>a</w:t>
      </w:r>
      <w:r w:rsidR="00215980" w:rsidRPr="00615171">
        <w:rPr>
          <w:rFonts w:asciiTheme="majorBidi" w:hAnsiTheme="majorBidi" w:cstheme="majorBidi"/>
          <w:color w:val="000000" w:themeColor="text1"/>
          <w:sz w:val="24"/>
          <w:szCs w:val="24"/>
        </w:rPr>
        <w:t>n examination of the</w:t>
      </w:r>
      <w:r w:rsidR="00834F85" w:rsidRPr="00615171">
        <w:rPr>
          <w:rFonts w:asciiTheme="majorBidi" w:hAnsiTheme="majorBidi" w:cstheme="majorBidi"/>
          <w:color w:val="000000" w:themeColor="text1"/>
          <w:sz w:val="24"/>
          <w:szCs w:val="24"/>
        </w:rPr>
        <w:t xml:space="preserve"> correlates</w:t>
      </w:r>
      <w:r w:rsidR="00DF4316" w:rsidRPr="00615171">
        <w:rPr>
          <w:rFonts w:asciiTheme="majorBidi" w:hAnsiTheme="majorBidi" w:cstheme="majorBidi"/>
          <w:color w:val="000000" w:themeColor="text1"/>
          <w:sz w:val="24"/>
          <w:szCs w:val="24"/>
        </w:rPr>
        <w:t xml:space="preserve"> of different </w:t>
      </w:r>
      <w:r w:rsidR="00E56771" w:rsidRPr="00615171">
        <w:rPr>
          <w:rFonts w:asciiTheme="majorBidi" w:hAnsiTheme="majorBidi" w:cstheme="majorBidi"/>
          <w:color w:val="000000" w:themeColor="text1"/>
          <w:sz w:val="24"/>
          <w:szCs w:val="24"/>
        </w:rPr>
        <w:t xml:space="preserve">but specific </w:t>
      </w:r>
      <w:r w:rsidR="00DF4316" w:rsidRPr="00615171">
        <w:rPr>
          <w:rFonts w:asciiTheme="majorBidi" w:hAnsiTheme="majorBidi" w:cstheme="majorBidi"/>
          <w:color w:val="000000" w:themeColor="text1"/>
          <w:sz w:val="24"/>
          <w:szCs w:val="24"/>
        </w:rPr>
        <w:t xml:space="preserve">SES indicators </w:t>
      </w:r>
      <w:r w:rsidR="00E56771" w:rsidRPr="00615171">
        <w:rPr>
          <w:rFonts w:asciiTheme="majorBidi" w:hAnsiTheme="majorBidi" w:cstheme="majorBidi"/>
          <w:color w:val="000000" w:themeColor="text1"/>
          <w:sz w:val="24"/>
          <w:szCs w:val="24"/>
        </w:rPr>
        <w:t>that can help us interrogate more effectively the impact of these on the</w:t>
      </w:r>
      <w:r w:rsidR="00DF4316" w:rsidRPr="00615171">
        <w:rPr>
          <w:rFonts w:asciiTheme="majorBidi" w:hAnsiTheme="majorBidi" w:cstheme="majorBidi"/>
          <w:color w:val="000000" w:themeColor="text1"/>
          <w:sz w:val="24"/>
          <w:szCs w:val="24"/>
        </w:rPr>
        <w:t xml:space="preserve"> health of older people</w:t>
      </w:r>
      <w:r w:rsidR="00AF6DB8" w:rsidRPr="00615171">
        <w:rPr>
          <w:rFonts w:asciiTheme="majorBidi" w:hAnsiTheme="majorBidi" w:cstheme="majorBidi"/>
          <w:color w:val="000000" w:themeColor="text1"/>
          <w:sz w:val="24"/>
          <w:szCs w:val="24"/>
        </w:rPr>
        <w:t xml:space="preserve"> and to focus on in order to alleviate the impact of SES on health and wellbeing in later life.</w:t>
      </w:r>
      <w:r w:rsidR="00C33254" w:rsidRPr="00615171">
        <w:rPr>
          <w:rFonts w:asciiTheme="majorBidi" w:hAnsiTheme="majorBidi" w:cstheme="majorBidi"/>
          <w:color w:val="000000" w:themeColor="text1"/>
          <w:sz w:val="24"/>
          <w:szCs w:val="24"/>
        </w:rPr>
        <w:t xml:space="preserve">  We conclude with </w:t>
      </w:r>
      <w:r w:rsidRPr="00615171">
        <w:rPr>
          <w:rFonts w:asciiTheme="majorBidi" w:hAnsiTheme="majorBidi" w:cstheme="majorBidi"/>
          <w:color w:val="000000" w:themeColor="text1"/>
          <w:sz w:val="24"/>
          <w:szCs w:val="24"/>
        </w:rPr>
        <w:t xml:space="preserve">a review of the challenges, limitations and future research agendas and highlight </w:t>
      </w:r>
      <w:r w:rsidR="00C33254" w:rsidRPr="00615171">
        <w:rPr>
          <w:rFonts w:asciiTheme="majorBidi" w:hAnsiTheme="majorBidi" w:cstheme="majorBidi"/>
          <w:color w:val="000000" w:themeColor="text1"/>
          <w:sz w:val="24"/>
          <w:szCs w:val="24"/>
        </w:rPr>
        <w:t xml:space="preserve">some of the policy and practice implications of </w:t>
      </w:r>
      <w:r w:rsidRPr="00615171">
        <w:rPr>
          <w:rFonts w:asciiTheme="majorBidi" w:hAnsiTheme="majorBidi" w:cstheme="majorBidi"/>
          <w:color w:val="000000" w:themeColor="text1"/>
          <w:sz w:val="24"/>
          <w:szCs w:val="24"/>
        </w:rPr>
        <w:t xml:space="preserve">our findings. </w:t>
      </w:r>
    </w:p>
    <w:p w14:paraId="4D0D63DE" w14:textId="77777777" w:rsidR="00244695" w:rsidRPr="00615171" w:rsidRDefault="00244695" w:rsidP="00DF4316">
      <w:pPr>
        <w:spacing w:after="0" w:line="240" w:lineRule="auto"/>
        <w:ind w:firstLine="720"/>
        <w:jc w:val="both"/>
        <w:rPr>
          <w:rFonts w:asciiTheme="majorBidi" w:hAnsiTheme="majorBidi" w:cstheme="majorBidi"/>
          <w:color w:val="000000" w:themeColor="text1"/>
          <w:sz w:val="24"/>
          <w:szCs w:val="24"/>
        </w:rPr>
      </w:pPr>
    </w:p>
    <w:p w14:paraId="040D67A8" w14:textId="77777777" w:rsidR="00244695" w:rsidRPr="00615171" w:rsidRDefault="00244695" w:rsidP="00244695">
      <w:pPr>
        <w:shd w:val="clear" w:color="auto" w:fill="FFFFFF"/>
        <w:spacing w:after="0" w:line="240" w:lineRule="auto"/>
        <w:jc w:val="center"/>
        <w:rPr>
          <w:rFonts w:asciiTheme="majorBidi" w:eastAsia="Times New Roman" w:hAnsiTheme="majorBidi" w:cstheme="majorBidi"/>
          <w:b/>
          <w:color w:val="000000" w:themeColor="text1"/>
          <w:sz w:val="24"/>
          <w:szCs w:val="24"/>
          <w:lang w:val="en-GB" w:eastAsia="zh-CN"/>
        </w:rPr>
      </w:pPr>
      <w:r w:rsidRPr="00615171">
        <w:rPr>
          <w:rFonts w:asciiTheme="majorBidi" w:eastAsia="Times New Roman" w:hAnsiTheme="majorBidi" w:cstheme="majorBidi"/>
          <w:b/>
          <w:color w:val="000000" w:themeColor="text1"/>
          <w:sz w:val="24"/>
          <w:szCs w:val="24"/>
          <w:lang w:val="en-GB" w:eastAsia="zh-CN"/>
        </w:rPr>
        <w:t xml:space="preserve">DEFINING SES, HEALTH, AND THEIR CASUAL CONNECTION </w:t>
      </w:r>
    </w:p>
    <w:p w14:paraId="114E5780" w14:textId="77777777" w:rsidR="00244695" w:rsidRPr="00615171" w:rsidRDefault="00244695" w:rsidP="00244695">
      <w:pPr>
        <w:shd w:val="clear" w:color="auto" w:fill="FFFFFF"/>
        <w:spacing w:after="0" w:line="240" w:lineRule="auto"/>
        <w:jc w:val="center"/>
        <w:rPr>
          <w:rFonts w:asciiTheme="majorBidi" w:eastAsia="Times New Roman" w:hAnsiTheme="majorBidi" w:cstheme="majorBidi"/>
          <w:b/>
          <w:color w:val="000000" w:themeColor="text1"/>
          <w:sz w:val="24"/>
          <w:szCs w:val="24"/>
          <w:lang w:val="en-GB" w:eastAsia="zh-CN"/>
        </w:rPr>
      </w:pPr>
    </w:p>
    <w:p w14:paraId="057F7736" w14:textId="67E70DE5" w:rsidR="00244695" w:rsidRPr="00615171" w:rsidRDefault="004B4318" w:rsidP="00EE1310">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SES</w:t>
      </w:r>
      <w:r w:rsidR="00244695" w:rsidRPr="00615171">
        <w:rPr>
          <w:rFonts w:asciiTheme="majorBidi" w:hAnsiTheme="majorBidi" w:cstheme="majorBidi"/>
          <w:color w:val="000000" w:themeColor="text1"/>
          <w:sz w:val="24"/>
          <w:szCs w:val="24"/>
        </w:rPr>
        <w:t xml:space="preserve"> </w:t>
      </w:r>
      <w:r w:rsidR="008A313B" w:rsidRPr="00615171">
        <w:rPr>
          <w:rFonts w:asciiTheme="majorBidi" w:hAnsiTheme="majorBidi" w:cstheme="majorBidi"/>
          <w:color w:val="000000" w:themeColor="text1"/>
          <w:sz w:val="24"/>
          <w:szCs w:val="24"/>
        </w:rPr>
        <w:t xml:space="preserve">is a term used to </w:t>
      </w:r>
      <w:r w:rsidR="00834F85" w:rsidRPr="00615171">
        <w:rPr>
          <w:rFonts w:asciiTheme="majorBidi" w:hAnsiTheme="majorBidi" w:cstheme="majorBidi"/>
          <w:color w:val="000000" w:themeColor="text1"/>
          <w:sz w:val="24"/>
          <w:szCs w:val="24"/>
        </w:rPr>
        <w:t>refer to</w:t>
      </w:r>
      <w:r w:rsidR="00244695" w:rsidRPr="00615171">
        <w:rPr>
          <w:rFonts w:asciiTheme="majorBidi" w:hAnsiTheme="majorBidi" w:cstheme="majorBidi"/>
          <w:color w:val="000000" w:themeColor="text1"/>
          <w:sz w:val="24"/>
          <w:szCs w:val="24"/>
        </w:rPr>
        <w:t xml:space="preserve"> the social standing or position of an individual or group</w:t>
      </w:r>
      <w:r w:rsidR="008A313B" w:rsidRPr="00615171">
        <w:rPr>
          <w:rFonts w:asciiTheme="majorBidi" w:hAnsiTheme="majorBidi" w:cstheme="majorBidi"/>
          <w:color w:val="000000" w:themeColor="text1"/>
          <w:sz w:val="24"/>
          <w:szCs w:val="24"/>
        </w:rPr>
        <w:t xml:space="preserve"> </w:t>
      </w:r>
      <w:r w:rsidR="00E56771" w:rsidRPr="00615171">
        <w:rPr>
          <w:rFonts w:asciiTheme="majorBidi" w:hAnsiTheme="majorBidi" w:cstheme="majorBidi"/>
          <w:color w:val="000000" w:themeColor="text1"/>
          <w:sz w:val="24"/>
          <w:szCs w:val="24"/>
        </w:rPr>
        <w:t xml:space="preserve">and which is </w:t>
      </w:r>
      <w:r w:rsidR="004B0DF3" w:rsidRPr="00615171">
        <w:rPr>
          <w:rFonts w:asciiTheme="majorBidi" w:hAnsiTheme="majorBidi" w:cstheme="majorBidi"/>
          <w:color w:val="000000" w:themeColor="text1"/>
          <w:sz w:val="24"/>
          <w:szCs w:val="24"/>
        </w:rPr>
        <w:t xml:space="preserve">commonly conceptualised through the lens of social class where notions of privilege, power and lifestyle are emphasised </w:t>
      </w:r>
      <w:r w:rsidR="008A313B" w:rsidRPr="00615171">
        <w:rPr>
          <w:rFonts w:asciiTheme="majorBidi" w:hAnsiTheme="majorBidi" w:cstheme="majorBidi"/>
          <w:color w:val="000000" w:themeColor="text1"/>
          <w:sz w:val="24"/>
          <w:szCs w:val="24"/>
        </w:rPr>
        <w:t>(</w:t>
      </w:r>
      <w:r w:rsidR="004B0DF3" w:rsidRPr="00615171">
        <w:rPr>
          <w:rFonts w:asciiTheme="majorBidi" w:hAnsiTheme="majorBidi" w:cstheme="majorBidi"/>
          <w:color w:val="000000" w:themeColor="text1"/>
          <w:sz w:val="24"/>
          <w:szCs w:val="24"/>
        </w:rPr>
        <w:t>Formosa and Higgs, 2014)</w:t>
      </w:r>
      <w:r w:rsidR="00244695" w:rsidRPr="00615171">
        <w:rPr>
          <w:rFonts w:asciiTheme="majorBidi" w:hAnsiTheme="majorBidi" w:cstheme="majorBidi"/>
          <w:color w:val="000000" w:themeColor="text1"/>
          <w:sz w:val="24"/>
          <w:szCs w:val="24"/>
        </w:rPr>
        <w:t>. It is a</w:t>
      </w:r>
      <w:r w:rsidR="008A313B" w:rsidRPr="00615171">
        <w:rPr>
          <w:rFonts w:asciiTheme="majorBidi" w:hAnsiTheme="majorBidi" w:cstheme="majorBidi"/>
          <w:color w:val="000000" w:themeColor="text1"/>
          <w:sz w:val="24"/>
          <w:szCs w:val="24"/>
        </w:rPr>
        <w:t>n</w:t>
      </w:r>
      <w:r w:rsidR="00244695" w:rsidRPr="00615171">
        <w:rPr>
          <w:rFonts w:asciiTheme="majorBidi" w:hAnsiTheme="majorBidi" w:cstheme="majorBidi"/>
          <w:color w:val="000000" w:themeColor="text1"/>
          <w:sz w:val="24"/>
          <w:szCs w:val="24"/>
        </w:rPr>
        <w:t xml:space="preserve"> economic and sociological </w:t>
      </w:r>
      <w:r w:rsidR="00244695" w:rsidRPr="00615171">
        <w:rPr>
          <w:rFonts w:asciiTheme="majorBidi" w:hAnsiTheme="majorBidi" w:cstheme="majorBidi"/>
          <w:color w:val="000000" w:themeColor="text1"/>
          <w:sz w:val="24"/>
          <w:szCs w:val="24"/>
        </w:rPr>
        <w:lastRenderedPageBreak/>
        <w:t>measure that often combines education, income and occupation (</w:t>
      </w:r>
      <w:proofErr w:type="spellStart"/>
      <w:r w:rsidR="00244695" w:rsidRPr="00615171">
        <w:rPr>
          <w:rFonts w:asciiTheme="majorBidi" w:hAnsiTheme="majorBidi" w:cstheme="majorBidi"/>
          <w:color w:val="000000" w:themeColor="text1"/>
          <w:sz w:val="24"/>
          <w:szCs w:val="24"/>
        </w:rPr>
        <w:t>Mackenbach</w:t>
      </w:r>
      <w:proofErr w:type="spellEnd"/>
      <w:r w:rsidR="00244695" w:rsidRPr="00615171">
        <w:rPr>
          <w:rFonts w:asciiTheme="majorBidi" w:hAnsiTheme="majorBidi" w:cstheme="majorBidi"/>
          <w:color w:val="000000" w:themeColor="text1"/>
          <w:sz w:val="24"/>
          <w:szCs w:val="24"/>
        </w:rPr>
        <w:t xml:space="preserve"> </w:t>
      </w:r>
      <w:r w:rsidR="00715990" w:rsidRPr="00615171">
        <w:rPr>
          <w:rFonts w:asciiTheme="majorBidi" w:hAnsiTheme="majorBidi" w:cstheme="majorBidi"/>
          <w:i/>
          <w:color w:val="000000" w:themeColor="text1"/>
          <w:sz w:val="24"/>
          <w:szCs w:val="24"/>
        </w:rPr>
        <w:t>et al</w:t>
      </w:r>
      <w:r w:rsidR="00244695" w:rsidRPr="00615171">
        <w:rPr>
          <w:rFonts w:asciiTheme="majorBidi" w:hAnsiTheme="majorBidi" w:cstheme="majorBidi"/>
          <w:i/>
          <w:color w:val="000000" w:themeColor="text1"/>
          <w:sz w:val="24"/>
          <w:szCs w:val="24"/>
        </w:rPr>
        <w:t>.</w:t>
      </w:r>
      <w:r w:rsidR="00244695" w:rsidRPr="00615171">
        <w:rPr>
          <w:rFonts w:asciiTheme="majorBidi" w:hAnsiTheme="majorBidi" w:cstheme="majorBidi"/>
          <w:color w:val="000000" w:themeColor="text1"/>
          <w:sz w:val="24"/>
          <w:szCs w:val="24"/>
        </w:rPr>
        <w:t xml:space="preserve">, 2008). Oakes and Rossi (2003) </w:t>
      </w:r>
      <w:r w:rsidR="00CE2B45" w:rsidRPr="00615171">
        <w:rPr>
          <w:rFonts w:asciiTheme="majorBidi" w:hAnsiTheme="majorBidi" w:cstheme="majorBidi"/>
          <w:color w:val="000000" w:themeColor="text1"/>
          <w:sz w:val="24"/>
          <w:szCs w:val="24"/>
        </w:rPr>
        <w:t>assert</w:t>
      </w:r>
      <w:r w:rsidR="00244695" w:rsidRPr="00615171">
        <w:rPr>
          <w:rFonts w:asciiTheme="majorBidi" w:hAnsiTheme="majorBidi" w:cstheme="majorBidi"/>
          <w:color w:val="000000" w:themeColor="text1"/>
          <w:sz w:val="24"/>
          <w:szCs w:val="24"/>
        </w:rPr>
        <w:t xml:space="preserve"> that socio-economic status should </w:t>
      </w:r>
      <w:r w:rsidR="00E56771" w:rsidRPr="00615171">
        <w:rPr>
          <w:rFonts w:asciiTheme="majorBidi" w:hAnsiTheme="majorBidi" w:cstheme="majorBidi"/>
          <w:color w:val="000000" w:themeColor="text1"/>
          <w:sz w:val="24"/>
          <w:szCs w:val="24"/>
        </w:rPr>
        <w:t xml:space="preserve">also </w:t>
      </w:r>
      <w:r w:rsidR="00244695" w:rsidRPr="00615171">
        <w:rPr>
          <w:rFonts w:asciiTheme="majorBidi" w:hAnsiTheme="majorBidi" w:cstheme="majorBidi"/>
          <w:color w:val="000000" w:themeColor="text1"/>
          <w:sz w:val="24"/>
          <w:szCs w:val="24"/>
        </w:rPr>
        <w:t>reflect the extent of people’s access to collectively desired resources or opportunities such as material goods, power and control, money, social networks, healthcare services, leisure activities and educational facilities</w:t>
      </w:r>
      <w:r w:rsidR="00AF6DB8" w:rsidRPr="00615171">
        <w:rPr>
          <w:rFonts w:asciiTheme="majorBidi" w:hAnsiTheme="majorBidi" w:cstheme="majorBidi"/>
          <w:color w:val="000000" w:themeColor="text1"/>
          <w:sz w:val="24"/>
          <w:szCs w:val="24"/>
        </w:rPr>
        <w:t>, including practical interventions that promote their participation and involvement to promote their own health and wellbeing (Hafford-Letchfield, 201</w:t>
      </w:r>
      <w:r w:rsidR="00B87CC6" w:rsidRPr="00615171">
        <w:rPr>
          <w:rFonts w:asciiTheme="majorBidi" w:hAnsiTheme="majorBidi" w:cstheme="majorBidi"/>
          <w:color w:val="000000" w:themeColor="text1"/>
          <w:sz w:val="24"/>
          <w:szCs w:val="24"/>
        </w:rPr>
        <w:t>1</w:t>
      </w:r>
      <w:r w:rsidR="00AF6DB8" w:rsidRPr="00615171">
        <w:rPr>
          <w:rFonts w:asciiTheme="majorBidi" w:hAnsiTheme="majorBidi" w:cstheme="majorBidi"/>
          <w:color w:val="000000" w:themeColor="text1"/>
          <w:sz w:val="24"/>
          <w:szCs w:val="24"/>
        </w:rPr>
        <w:t>)</w:t>
      </w:r>
      <w:r w:rsidR="00244695" w:rsidRPr="00615171">
        <w:rPr>
          <w:rFonts w:asciiTheme="majorBidi" w:hAnsiTheme="majorBidi" w:cstheme="majorBidi"/>
          <w:color w:val="000000" w:themeColor="text1"/>
          <w:sz w:val="24"/>
          <w:szCs w:val="24"/>
        </w:rPr>
        <w:t xml:space="preserve">. Examination of SES often reveals </w:t>
      </w:r>
      <w:r w:rsidR="004B0DF3" w:rsidRPr="00615171">
        <w:rPr>
          <w:rFonts w:asciiTheme="majorBidi" w:hAnsiTheme="majorBidi" w:cstheme="majorBidi"/>
          <w:color w:val="000000" w:themeColor="text1"/>
          <w:sz w:val="24"/>
          <w:szCs w:val="24"/>
        </w:rPr>
        <w:t>significant</w:t>
      </w:r>
      <w:r w:rsidR="00244695" w:rsidRPr="00615171">
        <w:rPr>
          <w:rFonts w:asciiTheme="majorBidi" w:hAnsiTheme="majorBidi" w:cstheme="majorBidi"/>
          <w:color w:val="000000" w:themeColor="text1"/>
          <w:sz w:val="24"/>
          <w:szCs w:val="24"/>
        </w:rPr>
        <w:t xml:space="preserve"> inequalities </w:t>
      </w:r>
      <w:r w:rsidR="004B0DF3" w:rsidRPr="00615171">
        <w:rPr>
          <w:rFonts w:asciiTheme="majorBidi" w:hAnsiTheme="majorBidi" w:cstheme="majorBidi"/>
          <w:color w:val="000000" w:themeColor="text1"/>
          <w:sz w:val="24"/>
          <w:szCs w:val="24"/>
        </w:rPr>
        <w:t xml:space="preserve">and disparities </w:t>
      </w:r>
      <w:r w:rsidR="00244695" w:rsidRPr="00615171">
        <w:rPr>
          <w:rFonts w:asciiTheme="majorBidi" w:hAnsiTheme="majorBidi" w:cstheme="majorBidi"/>
          <w:color w:val="000000" w:themeColor="text1"/>
          <w:sz w:val="24"/>
          <w:szCs w:val="24"/>
        </w:rPr>
        <w:t xml:space="preserve">in access to </w:t>
      </w:r>
      <w:r w:rsidR="00E56771" w:rsidRPr="00615171">
        <w:rPr>
          <w:rFonts w:asciiTheme="majorBidi" w:hAnsiTheme="majorBidi" w:cstheme="majorBidi"/>
          <w:color w:val="000000" w:themeColor="text1"/>
          <w:sz w:val="24"/>
          <w:szCs w:val="24"/>
        </w:rPr>
        <w:t xml:space="preserve">essential </w:t>
      </w:r>
      <w:r w:rsidR="00244695" w:rsidRPr="00615171">
        <w:rPr>
          <w:rFonts w:asciiTheme="majorBidi" w:hAnsiTheme="majorBidi" w:cstheme="majorBidi"/>
          <w:color w:val="000000" w:themeColor="text1"/>
          <w:sz w:val="24"/>
          <w:szCs w:val="24"/>
        </w:rPr>
        <w:t xml:space="preserve">resources or facilities </w:t>
      </w:r>
      <w:r w:rsidR="008A313B" w:rsidRPr="00615171">
        <w:rPr>
          <w:rFonts w:asciiTheme="majorBidi" w:hAnsiTheme="majorBidi" w:cstheme="majorBidi"/>
          <w:color w:val="000000" w:themeColor="text1"/>
          <w:sz w:val="24"/>
          <w:szCs w:val="24"/>
        </w:rPr>
        <w:t>and</w:t>
      </w:r>
      <w:r w:rsidR="00244695" w:rsidRPr="00615171">
        <w:rPr>
          <w:rFonts w:asciiTheme="majorBidi" w:hAnsiTheme="majorBidi" w:cstheme="majorBidi"/>
          <w:color w:val="000000" w:themeColor="text1"/>
          <w:sz w:val="24"/>
          <w:szCs w:val="24"/>
        </w:rPr>
        <w:t xml:space="preserve"> such differentials can often have a profound effect on people’s health. European researchers </w:t>
      </w:r>
      <w:r w:rsidR="008A313B" w:rsidRPr="00615171">
        <w:rPr>
          <w:rFonts w:asciiTheme="majorBidi" w:hAnsiTheme="majorBidi" w:cstheme="majorBidi"/>
          <w:color w:val="000000" w:themeColor="text1"/>
          <w:sz w:val="24"/>
          <w:szCs w:val="24"/>
        </w:rPr>
        <w:t>tend to use</w:t>
      </w:r>
      <w:r w:rsidR="00244695" w:rsidRPr="00615171">
        <w:rPr>
          <w:rFonts w:asciiTheme="majorBidi" w:hAnsiTheme="majorBidi" w:cstheme="majorBidi"/>
          <w:color w:val="000000" w:themeColor="text1"/>
          <w:sz w:val="24"/>
          <w:szCs w:val="24"/>
        </w:rPr>
        <w:t xml:space="preserve"> the term socio-economic position (SEP) instead of SES (</w:t>
      </w:r>
      <w:proofErr w:type="spellStart"/>
      <w:r w:rsidR="00244695" w:rsidRPr="00615171">
        <w:rPr>
          <w:rFonts w:asciiTheme="majorBidi" w:hAnsiTheme="majorBidi" w:cstheme="majorBidi"/>
          <w:color w:val="000000" w:themeColor="text1"/>
          <w:sz w:val="24"/>
          <w:szCs w:val="24"/>
        </w:rPr>
        <w:t>Galobardes</w:t>
      </w:r>
      <w:proofErr w:type="spellEnd"/>
      <w:r w:rsidR="00244695" w:rsidRPr="00615171">
        <w:rPr>
          <w:rFonts w:asciiTheme="majorBidi" w:hAnsiTheme="majorBidi" w:cstheme="majorBidi"/>
          <w:color w:val="000000" w:themeColor="text1"/>
          <w:sz w:val="24"/>
          <w:szCs w:val="24"/>
        </w:rPr>
        <w:t xml:space="preserve"> </w:t>
      </w:r>
      <w:r w:rsidR="00715990" w:rsidRPr="00615171">
        <w:rPr>
          <w:rFonts w:asciiTheme="majorBidi" w:hAnsiTheme="majorBidi" w:cstheme="majorBidi"/>
          <w:i/>
          <w:color w:val="000000" w:themeColor="text1"/>
          <w:sz w:val="24"/>
          <w:szCs w:val="24"/>
        </w:rPr>
        <w:t>et al</w:t>
      </w:r>
      <w:r w:rsidR="00244695" w:rsidRPr="00615171">
        <w:rPr>
          <w:rFonts w:asciiTheme="majorBidi" w:hAnsiTheme="majorBidi" w:cstheme="majorBidi"/>
          <w:i/>
          <w:color w:val="000000" w:themeColor="text1"/>
          <w:sz w:val="24"/>
          <w:szCs w:val="24"/>
        </w:rPr>
        <w:t>.</w:t>
      </w:r>
      <w:r w:rsidR="00244695" w:rsidRPr="00615171">
        <w:rPr>
          <w:rFonts w:asciiTheme="majorBidi" w:hAnsiTheme="majorBidi" w:cstheme="majorBidi"/>
          <w:color w:val="000000" w:themeColor="text1"/>
          <w:sz w:val="24"/>
          <w:szCs w:val="24"/>
        </w:rPr>
        <w:t>, 2006)</w:t>
      </w:r>
      <w:r w:rsidR="00834F85" w:rsidRPr="00615171">
        <w:rPr>
          <w:rFonts w:asciiTheme="majorBidi" w:hAnsiTheme="majorBidi" w:cstheme="majorBidi"/>
          <w:color w:val="000000" w:themeColor="text1"/>
          <w:sz w:val="24"/>
          <w:szCs w:val="24"/>
        </w:rPr>
        <w:t xml:space="preserve"> although the two terms are </w:t>
      </w:r>
      <w:r w:rsidR="00215980" w:rsidRPr="00615171">
        <w:rPr>
          <w:rFonts w:asciiTheme="majorBidi" w:hAnsiTheme="majorBidi" w:cstheme="majorBidi"/>
          <w:color w:val="000000" w:themeColor="text1"/>
          <w:sz w:val="24"/>
          <w:szCs w:val="24"/>
        </w:rPr>
        <w:t xml:space="preserve">generally </w:t>
      </w:r>
      <w:r w:rsidR="00834F85" w:rsidRPr="00615171">
        <w:rPr>
          <w:rFonts w:asciiTheme="majorBidi" w:hAnsiTheme="majorBidi" w:cstheme="majorBidi"/>
          <w:color w:val="000000" w:themeColor="text1"/>
          <w:sz w:val="24"/>
          <w:szCs w:val="24"/>
        </w:rPr>
        <w:t>synonymous</w:t>
      </w:r>
      <w:r w:rsidR="008A313B" w:rsidRPr="00615171">
        <w:rPr>
          <w:rFonts w:asciiTheme="majorBidi" w:hAnsiTheme="majorBidi" w:cstheme="majorBidi"/>
          <w:color w:val="000000" w:themeColor="text1"/>
          <w:sz w:val="24"/>
          <w:szCs w:val="24"/>
        </w:rPr>
        <w:t>.</w:t>
      </w:r>
      <w:r w:rsidR="00244695" w:rsidRPr="00615171">
        <w:rPr>
          <w:rFonts w:asciiTheme="majorBidi" w:hAnsiTheme="majorBidi" w:cstheme="majorBidi"/>
          <w:color w:val="000000" w:themeColor="text1"/>
          <w:sz w:val="24"/>
          <w:szCs w:val="24"/>
        </w:rPr>
        <w:t xml:space="preserve"> </w:t>
      </w:r>
      <w:r w:rsidR="004B0DF3" w:rsidRPr="00615171">
        <w:rPr>
          <w:rFonts w:asciiTheme="majorBidi" w:hAnsiTheme="majorBidi" w:cstheme="majorBidi"/>
          <w:color w:val="000000" w:themeColor="text1"/>
          <w:sz w:val="24"/>
          <w:szCs w:val="24"/>
        </w:rPr>
        <w:t>In relation to ageing, the evidence base for socio-economic inequalities is strongest in the field of health care, compared to other public services.  The evidence however, is still limited and piecemeal and largely restricted to individual studies of discrete conditions</w:t>
      </w:r>
      <w:r w:rsidR="00E56771" w:rsidRPr="00615171">
        <w:rPr>
          <w:rFonts w:asciiTheme="majorBidi" w:hAnsiTheme="majorBidi" w:cstheme="majorBidi"/>
          <w:color w:val="000000" w:themeColor="text1"/>
          <w:sz w:val="24"/>
          <w:szCs w:val="24"/>
        </w:rPr>
        <w:t xml:space="preserve"> (EHRC, not dated)</w:t>
      </w:r>
      <w:r w:rsidR="008573C8" w:rsidRPr="00615171">
        <w:rPr>
          <w:rFonts w:asciiTheme="majorBidi" w:hAnsiTheme="majorBidi" w:cstheme="majorBidi"/>
          <w:color w:val="000000" w:themeColor="text1"/>
          <w:sz w:val="24"/>
          <w:szCs w:val="24"/>
        </w:rPr>
        <w:t xml:space="preserve"> but can be found elsewhere </w:t>
      </w:r>
      <w:proofErr w:type="gramStart"/>
      <w:r w:rsidR="008573C8" w:rsidRPr="00615171">
        <w:rPr>
          <w:rFonts w:asciiTheme="majorBidi" w:hAnsiTheme="majorBidi" w:cstheme="majorBidi"/>
          <w:color w:val="000000" w:themeColor="text1"/>
          <w:sz w:val="24"/>
          <w:szCs w:val="24"/>
        </w:rPr>
        <w:t xml:space="preserve">at </w:t>
      </w:r>
      <w:r w:rsidR="007F0E9E" w:rsidRPr="00615171">
        <w:rPr>
          <w:rFonts w:asciiTheme="majorBidi" w:hAnsiTheme="majorBidi" w:cstheme="majorBidi"/>
          <w:color w:val="000000" w:themeColor="text1"/>
          <w:sz w:val="24"/>
          <w:szCs w:val="24"/>
        </w:rPr>
        <w:t xml:space="preserve"> http://justageing.equalityhumanrights.com/socio-economic-inequalities-in-older-peoples-access-to-and-use-ofpublic-services/</w:t>
      </w:r>
      <w:proofErr w:type="gramEnd"/>
      <w:r w:rsidR="007F0E9E" w:rsidRPr="00615171">
        <w:rPr>
          <w:rFonts w:asciiTheme="majorBidi" w:hAnsiTheme="majorBidi" w:cstheme="majorBidi"/>
          <w:color w:val="000000" w:themeColor="text1"/>
          <w:sz w:val="24"/>
          <w:szCs w:val="24"/>
        </w:rPr>
        <w:t>.</w:t>
      </w:r>
    </w:p>
    <w:p w14:paraId="4648F2B5" w14:textId="77777777" w:rsidR="00715990" w:rsidRPr="00615171" w:rsidRDefault="00715990" w:rsidP="00EE1310">
      <w:pPr>
        <w:spacing w:after="0" w:line="240" w:lineRule="auto"/>
        <w:ind w:firstLine="720"/>
        <w:jc w:val="both"/>
        <w:rPr>
          <w:rFonts w:asciiTheme="majorBidi" w:hAnsiTheme="majorBidi" w:cstheme="majorBidi"/>
          <w:color w:val="000000" w:themeColor="text1"/>
          <w:sz w:val="24"/>
          <w:szCs w:val="24"/>
        </w:rPr>
      </w:pPr>
    </w:p>
    <w:p w14:paraId="060CFE74" w14:textId="4EE20BE6" w:rsidR="00244695" w:rsidRPr="00615171" w:rsidRDefault="00244695" w:rsidP="00885EB6">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The most commonly used indicators of SES for studying health inequalities are income, occupational class and educational qualifications (</w:t>
      </w:r>
      <w:proofErr w:type="spellStart"/>
      <w:r w:rsidRPr="00615171">
        <w:rPr>
          <w:rFonts w:asciiTheme="majorBidi" w:hAnsiTheme="majorBidi" w:cstheme="majorBidi"/>
          <w:color w:val="000000" w:themeColor="text1"/>
          <w:sz w:val="24"/>
          <w:szCs w:val="24"/>
        </w:rPr>
        <w:t>Knesebeck</w:t>
      </w:r>
      <w:proofErr w:type="spellEnd"/>
      <w:r w:rsidRPr="00615171">
        <w:rPr>
          <w:rFonts w:asciiTheme="majorBidi" w:hAnsiTheme="majorBidi" w:cstheme="majorBidi"/>
          <w:color w:val="000000" w:themeColor="text1"/>
          <w:sz w:val="24"/>
          <w:szCs w:val="24"/>
        </w:rPr>
        <w:t xml:space="preserve"> </w:t>
      </w:r>
      <w:r w:rsidRPr="00615171">
        <w:rPr>
          <w:rFonts w:asciiTheme="majorBidi" w:hAnsiTheme="majorBidi" w:cstheme="majorBidi"/>
          <w:i/>
          <w:color w:val="000000" w:themeColor="text1"/>
          <w:sz w:val="24"/>
          <w:szCs w:val="24"/>
        </w:rPr>
        <w:t>et al.</w:t>
      </w:r>
      <w:r w:rsidRPr="00615171">
        <w:rPr>
          <w:rFonts w:asciiTheme="majorBidi" w:hAnsiTheme="majorBidi" w:cstheme="majorBidi"/>
          <w:color w:val="000000" w:themeColor="text1"/>
          <w:sz w:val="24"/>
          <w:szCs w:val="24"/>
        </w:rPr>
        <w:t xml:space="preserve">, 2003). The income indicator is preferred </w:t>
      </w:r>
      <w:r w:rsidR="008A313B" w:rsidRPr="00615171">
        <w:rPr>
          <w:rFonts w:asciiTheme="majorBidi" w:hAnsiTheme="majorBidi" w:cstheme="majorBidi"/>
          <w:color w:val="000000" w:themeColor="text1"/>
          <w:sz w:val="24"/>
          <w:szCs w:val="24"/>
        </w:rPr>
        <w:t>as</w:t>
      </w:r>
      <w:r w:rsidRPr="00615171">
        <w:rPr>
          <w:rFonts w:asciiTheme="majorBidi" w:hAnsiTheme="majorBidi" w:cstheme="majorBidi"/>
          <w:color w:val="000000" w:themeColor="text1"/>
          <w:sz w:val="24"/>
          <w:szCs w:val="24"/>
        </w:rPr>
        <w:t xml:space="preserve"> a materialistic explanation of health inequalities</w:t>
      </w:r>
      <w:r w:rsidR="00B92E61" w:rsidRPr="00615171">
        <w:rPr>
          <w:rFonts w:asciiTheme="majorBidi" w:hAnsiTheme="majorBidi" w:cstheme="majorBidi"/>
          <w:color w:val="000000" w:themeColor="text1"/>
          <w:sz w:val="24"/>
          <w:szCs w:val="24"/>
        </w:rPr>
        <w:t xml:space="preserve"> and may include a household’s total cash income measured over a determined calendar period,</w:t>
      </w:r>
      <w:r w:rsidR="003336B5" w:rsidRPr="00615171">
        <w:rPr>
          <w:rFonts w:asciiTheme="majorBidi" w:hAnsiTheme="majorBidi" w:cstheme="majorBidi"/>
          <w:color w:val="000000" w:themeColor="text1"/>
          <w:sz w:val="24"/>
          <w:szCs w:val="24"/>
        </w:rPr>
        <w:t xml:space="preserve"> or averaged period as well as</w:t>
      </w:r>
      <w:r w:rsidR="00B92E61" w:rsidRPr="00615171">
        <w:rPr>
          <w:rFonts w:asciiTheme="majorBidi" w:hAnsiTheme="majorBidi" w:cstheme="majorBidi"/>
          <w:color w:val="000000" w:themeColor="text1"/>
          <w:sz w:val="24"/>
          <w:szCs w:val="24"/>
        </w:rPr>
        <w:t xml:space="preserve"> disposable income. </w:t>
      </w:r>
      <w:r w:rsidR="003336B5" w:rsidRPr="00615171">
        <w:rPr>
          <w:rFonts w:asciiTheme="majorBidi" w:hAnsiTheme="majorBidi" w:cstheme="majorBidi"/>
          <w:color w:val="000000" w:themeColor="text1"/>
          <w:sz w:val="24"/>
          <w:szCs w:val="24"/>
        </w:rPr>
        <w:t>Income and wealth are positively correlated, but distinct, as can be seen in the case of an older individual who may have little cash income but substantial wealth through assets such as property ownership.</w:t>
      </w:r>
      <w:r w:rsidR="00B92E61" w:rsidRPr="00615171">
        <w:rPr>
          <w:rFonts w:asciiTheme="majorBidi" w:hAnsiTheme="majorBidi" w:cstheme="majorBidi"/>
          <w:color w:val="000000" w:themeColor="text1"/>
          <w:sz w:val="24"/>
          <w:szCs w:val="24"/>
        </w:rPr>
        <w:t xml:space="preserve"> </w:t>
      </w:r>
      <w:r w:rsidR="00AF6DB8" w:rsidRPr="00615171">
        <w:rPr>
          <w:rFonts w:asciiTheme="majorBidi" w:hAnsiTheme="majorBidi" w:cstheme="majorBidi"/>
          <w:color w:val="000000" w:themeColor="text1"/>
          <w:sz w:val="24"/>
          <w:szCs w:val="24"/>
        </w:rPr>
        <w:t>E</w:t>
      </w:r>
      <w:r w:rsidRPr="00615171">
        <w:rPr>
          <w:rFonts w:asciiTheme="majorBidi" w:hAnsiTheme="majorBidi" w:cstheme="majorBidi"/>
          <w:color w:val="000000" w:themeColor="text1"/>
          <w:sz w:val="24"/>
          <w:szCs w:val="24"/>
        </w:rPr>
        <w:t>ducational qualifications are closely linked to behavioural influences on health inequalities and occupational status or level of deprivation link to psychological factors in health inequalities</w:t>
      </w:r>
      <w:r w:rsidR="00A5025F" w:rsidRPr="00615171">
        <w:rPr>
          <w:rFonts w:asciiTheme="majorBidi" w:hAnsiTheme="majorBidi" w:cstheme="majorBidi"/>
          <w:color w:val="000000" w:themeColor="text1"/>
          <w:sz w:val="24"/>
          <w:szCs w:val="24"/>
        </w:rPr>
        <w:t xml:space="preserve"> (Grundy and Holt, 2001)</w:t>
      </w:r>
      <w:r w:rsidR="00AF6DB8" w:rsidRPr="00615171">
        <w:rPr>
          <w:rFonts w:asciiTheme="majorBidi" w:hAnsiTheme="majorBidi" w:cstheme="majorBidi"/>
          <w:color w:val="000000" w:themeColor="text1"/>
          <w:sz w:val="24"/>
          <w:szCs w:val="24"/>
        </w:rPr>
        <w:t xml:space="preserve"> and has been seen as vitally important for future generations for achieving material security in later life (</w:t>
      </w:r>
      <w:proofErr w:type="spellStart"/>
      <w:r w:rsidR="00AF6DB8" w:rsidRPr="00615171">
        <w:rPr>
          <w:rFonts w:asciiTheme="majorBidi" w:hAnsiTheme="majorBidi" w:cstheme="majorBidi"/>
          <w:color w:val="000000" w:themeColor="text1"/>
          <w:sz w:val="24"/>
          <w:szCs w:val="24"/>
        </w:rPr>
        <w:t>Burholt</w:t>
      </w:r>
      <w:proofErr w:type="spellEnd"/>
      <w:r w:rsidR="00AF6DB8" w:rsidRPr="00615171">
        <w:rPr>
          <w:rFonts w:asciiTheme="majorBidi" w:hAnsiTheme="majorBidi" w:cstheme="majorBidi"/>
          <w:color w:val="000000" w:themeColor="text1"/>
          <w:sz w:val="24"/>
          <w:szCs w:val="24"/>
        </w:rPr>
        <w:t xml:space="preserve"> and </w:t>
      </w:r>
      <w:proofErr w:type="spellStart"/>
      <w:r w:rsidR="00AF6DB8" w:rsidRPr="00615171">
        <w:rPr>
          <w:rFonts w:asciiTheme="majorBidi" w:hAnsiTheme="majorBidi" w:cstheme="majorBidi"/>
          <w:color w:val="000000" w:themeColor="text1"/>
          <w:sz w:val="24"/>
          <w:szCs w:val="24"/>
        </w:rPr>
        <w:t>Windle</w:t>
      </w:r>
      <w:proofErr w:type="spellEnd"/>
      <w:r w:rsidR="00AF6DB8" w:rsidRPr="00615171">
        <w:rPr>
          <w:rFonts w:asciiTheme="majorBidi" w:hAnsiTheme="majorBidi" w:cstheme="majorBidi"/>
          <w:color w:val="000000" w:themeColor="text1"/>
          <w:sz w:val="24"/>
          <w:szCs w:val="24"/>
        </w:rPr>
        <w:t>, 2006)</w:t>
      </w:r>
      <w:r w:rsidRPr="00615171">
        <w:rPr>
          <w:rFonts w:asciiTheme="majorBidi" w:hAnsiTheme="majorBidi" w:cstheme="majorBidi"/>
          <w:color w:val="000000" w:themeColor="text1"/>
          <w:sz w:val="24"/>
          <w:szCs w:val="24"/>
        </w:rPr>
        <w:t xml:space="preserve">. </w:t>
      </w:r>
      <w:r w:rsidR="003336B5" w:rsidRPr="00615171">
        <w:rPr>
          <w:rFonts w:asciiTheme="majorBidi" w:hAnsiTheme="majorBidi" w:cstheme="majorBidi"/>
          <w:color w:val="000000" w:themeColor="text1"/>
          <w:sz w:val="24"/>
          <w:szCs w:val="24"/>
        </w:rPr>
        <w:t xml:space="preserve">Usual or most recent occupation has been long employed as an indicator of SES and predicting variations in health status but may not be useful for older people where there </w:t>
      </w:r>
      <w:r w:rsidR="00B979C2" w:rsidRPr="00615171">
        <w:rPr>
          <w:rFonts w:asciiTheme="majorBidi" w:hAnsiTheme="majorBidi" w:cstheme="majorBidi"/>
          <w:color w:val="000000" w:themeColor="text1"/>
          <w:sz w:val="24"/>
          <w:szCs w:val="24"/>
        </w:rPr>
        <w:t xml:space="preserve">have been groups such as women with less or little labour market experience due to </w:t>
      </w:r>
      <w:r w:rsidR="00AF6DB8" w:rsidRPr="00615171">
        <w:rPr>
          <w:rFonts w:asciiTheme="majorBidi" w:hAnsiTheme="majorBidi" w:cstheme="majorBidi"/>
          <w:color w:val="000000" w:themeColor="text1"/>
          <w:sz w:val="24"/>
          <w:szCs w:val="24"/>
        </w:rPr>
        <w:t>shifting</w:t>
      </w:r>
      <w:r w:rsidR="00B979C2" w:rsidRPr="00615171">
        <w:rPr>
          <w:rFonts w:asciiTheme="majorBidi" w:hAnsiTheme="majorBidi" w:cstheme="majorBidi"/>
          <w:color w:val="000000" w:themeColor="text1"/>
          <w:sz w:val="24"/>
          <w:szCs w:val="24"/>
        </w:rPr>
        <w:t xml:space="preserve"> roles in society. Moreover, later-career occupations, unlike education, are more subject to reverse causation problems in which poor health leads to declines in occupational status (Daly </w:t>
      </w:r>
      <w:r w:rsidR="00B979C2" w:rsidRPr="00615171">
        <w:rPr>
          <w:rFonts w:asciiTheme="majorBidi" w:hAnsiTheme="majorBidi" w:cstheme="majorBidi"/>
          <w:i/>
          <w:iCs/>
          <w:color w:val="000000" w:themeColor="text1"/>
          <w:sz w:val="24"/>
          <w:szCs w:val="24"/>
        </w:rPr>
        <w:t>et al</w:t>
      </w:r>
      <w:r w:rsidR="00885EB6" w:rsidRPr="00615171">
        <w:rPr>
          <w:rFonts w:asciiTheme="majorBidi" w:hAnsiTheme="majorBidi" w:cstheme="majorBidi"/>
          <w:color w:val="000000" w:themeColor="text1"/>
          <w:sz w:val="24"/>
          <w:szCs w:val="24"/>
        </w:rPr>
        <w:t>.</w:t>
      </w:r>
      <w:r w:rsidR="00B979C2" w:rsidRPr="00615171">
        <w:rPr>
          <w:rFonts w:asciiTheme="majorBidi" w:hAnsiTheme="majorBidi" w:cstheme="majorBidi"/>
          <w:color w:val="000000" w:themeColor="text1"/>
          <w:sz w:val="24"/>
          <w:szCs w:val="24"/>
        </w:rPr>
        <w:t xml:space="preserve">, </w:t>
      </w:r>
      <w:r w:rsidR="00885EB6" w:rsidRPr="00615171">
        <w:rPr>
          <w:rFonts w:asciiTheme="majorBidi" w:hAnsiTheme="majorBidi" w:cstheme="majorBidi"/>
          <w:color w:val="000000" w:themeColor="text1"/>
          <w:sz w:val="24"/>
          <w:szCs w:val="24"/>
        </w:rPr>
        <w:t>2002</w:t>
      </w:r>
      <w:r w:rsidR="00B979C2" w:rsidRPr="00615171">
        <w:rPr>
          <w:rFonts w:asciiTheme="majorBidi" w:hAnsiTheme="majorBidi" w:cstheme="majorBidi"/>
          <w:color w:val="000000" w:themeColor="text1"/>
          <w:sz w:val="24"/>
          <w:szCs w:val="24"/>
        </w:rPr>
        <w:t xml:space="preserve">) </w:t>
      </w:r>
      <w:r w:rsidR="00AF6DB8" w:rsidRPr="00615171">
        <w:rPr>
          <w:rFonts w:asciiTheme="majorBidi" w:hAnsiTheme="majorBidi" w:cstheme="majorBidi"/>
          <w:color w:val="000000" w:themeColor="text1"/>
          <w:sz w:val="24"/>
          <w:szCs w:val="24"/>
        </w:rPr>
        <w:t>These</w:t>
      </w:r>
      <w:r w:rsidRPr="00615171">
        <w:rPr>
          <w:rFonts w:asciiTheme="majorBidi" w:hAnsiTheme="majorBidi" w:cstheme="majorBidi"/>
          <w:color w:val="000000" w:themeColor="text1"/>
          <w:sz w:val="24"/>
          <w:szCs w:val="24"/>
        </w:rPr>
        <w:t xml:space="preserve"> three indicators</w:t>
      </w:r>
      <w:r w:rsidR="00AF6DB8" w:rsidRPr="00615171">
        <w:rPr>
          <w:rFonts w:asciiTheme="majorBidi" w:hAnsiTheme="majorBidi" w:cstheme="majorBidi"/>
          <w:color w:val="000000" w:themeColor="text1"/>
          <w:sz w:val="24"/>
          <w:szCs w:val="24"/>
        </w:rPr>
        <w:t xml:space="preserve"> are elaborated in some</w:t>
      </w:r>
      <w:r w:rsidRPr="00615171">
        <w:rPr>
          <w:rFonts w:asciiTheme="majorBidi" w:hAnsiTheme="majorBidi" w:cstheme="majorBidi"/>
          <w:color w:val="000000" w:themeColor="text1"/>
          <w:sz w:val="24"/>
          <w:szCs w:val="24"/>
        </w:rPr>
        <w:t xml:space="preserve"> studies </w:t>
      </w:r>
      <w:r w:rsidR="00AF6DB8" w:rsidRPr="00615171">
        <w:rPr>
          <w:rFonts w:asciiTheme="majorBidi" w:hAnsiTheme="majorBidi" w:cstheme="majorBidi"/>
          <w:color w:val="000000" w:themeColor="text1"/>
          <w:sz w:val="24"/>
          <w:szCs w:val="24"/>
        </w:rPr>
        <w:t xml:space="preserve">to include </w:t>
      </w:r>
      <w:r w:rsidRPr="00615171">
        <w:rPr>
          <w:rFonts w:asciiTheme="majorBidi" w:hAnsiTheme="majorBidi" w:cstheme="majorBidi"/>
          <w:color w:val="000000" w:themeColor="text1"/>
          <w:sz w:val="24"/>
          <w:szCs w:val="24"/>
        </w:rPr>
        <w:t>financial assets and home ownership status. However, in practice, all these indicators are highly correlated and are used interchangeably in m</w:t>
      </w:r>
      <w:r w:rsidR="008616EF" w:rsidRPr="00615171">
        <w:rPr>
          <w:rFonts w:asciiTheme="majorBidi" w:hAnsiTheme="majorBidi" w:cstheme="majorBidi"/>
          <w:color w:val="000000" w:themeColor="text1"/>
          <w:sz w:val="24"/>
          <w:szCs w:val="24"/>
        </w:rPr>
        <w:t>any</w:t>
      </w:r>
      <w:r w:rsidRPr="00615171">
        <w:rPr>
          <w:rFonts w:asciiTheme="majorBidi" w:hAnsiTheme="majorBidi" w:cstheme="majorBidi"/>
          <w:color w:val="000000" w:themeColor="text1"/>
          <w:sz w:val="24"/>
          <w:szCs w:val="24"/>
        </w:rPr>
        <w:t xml:space="preserve"> studies. </w:t>
      </w:r>
    </w:p>
    <w:p w14:paraId="7793F02E" w14:textId="77777777" w:rsidR="00715990" w:rsidRPr="00615171" w:rsidRDefault="00715990" w:rsidP="00244695">
      <w:pPr>
        <w:spacing w:after="0" w:line="240" w:lineRule="auto"/>
        <w:ind w:firstLine="720"/>
        <w:jc w:val="both"/>
        <w:rPr>
          <w:rFonts w:asciiTheme="majorBidi" w:hAnsiTheme="majorBidi" w:cstheme="majorBidi"/>
          <w:color w:val="000000" w:themeColor="text1"/>
          <w:sz w:val="24"/>
          <w:szCs w:val="24"/>
        </w:rPr>
      </w:pPr>
    </w:p>
    <w:p w14:paraId="76912562" w14:textId="3C92CFA3" w:rsidR="00244695" w:rsidRPr="00615171" w:rsidRDefault="00244695" w:rsidP="008616EF">
      <w:pPr>
        <w:pStyle w:val="NormalWeb"/>
        <w:tabs>
          <w:tab w:val="left" w:pos="3119"/>
        </w:tabs>
        <w:spacing w:before="0" w:beforeAutospacing="0" w:after="0" w:afterAutospacing="0"/>
        <w:ind w:firstLine="720"/>
        <w:jc w:val="both"/>
        <w:rPr>
          <w:rFonts w:asciiTheme="majorBidi" w:hAnsiTheme="majorBidi" w:cstheme="majorBidi"/>
          <w:color w:val="000000" w:themeColor="text1"/>
        </w:rPr>
      </w:pPr>
      <w:r w:rsidRPr="00615171">
        <w:rPr>
          <w:rFonts w:asciiTheme="majorBidi" w:hAnsiTheme="majorBidi" w:cstheme="majorBidi"/>
          <w:color w:val="000000" w:themeColor="text1"/>
        </w:rPr>
        <w:t>On other hand, health is the key element for the wellbeing of older people (Bernard, 2000; Khan and Raeside, 2014; Khan and Flynn, 2015). It is a multidimensional concept that is difficult to define and measure precisely. According to WHO (1948), “Health is a state of complete physical, mental and social wellbeing and not merely an absence of diseases or infirmity”. In recent years, definitions of health have included more dimensions such as spiritual, emotional, vocational and political. The main physical health indicators (population-level) are mortality rates, survival rates, life expectancy, limiting longstanding il</w:t>
      </w:r>
      <w:r w:rsidR="00715990" w:rsidRPr="00615171">
        <w:rPr>
          <w:rFonts w:asciiTheme="majorBidi" w:hAnsiTheme="majorBidi" w:cstheme="majorBidi"/>
          <w:color w:val="000000" w:themeColor="text1"/>
        </w:rPr>
        <w:t>lness, self-reported health etc.</w:t>
      </w:r>
      <w:r w:rsidRPr="00615171">
        <w:rPr>
          <w:rFonts w:asciiTheme="majorBidi" w:hAnsiTheme="majorBidi" w:cstheme="majorBidi"/>
          <w:color w:val="000000" w:themeColor="text1"/>
        </w:rPr>
        <w:t xml:space="preserve"> and mental health indicators </w:t>
      </w:r>
      <w:r w:rsidR="00987AAA" w:rsidRPr="00615171">
        <w:rPr>
          <w:rFonts w:asciiTheme="majorBidi" w:hAnsiTheme="majorBidi" w:cstheme="majorBidi"/>
          <w:color w:val="000000" w:themeColor="text1"/>
        </w:rPr>
        <w:t>may include the existence of known conditions, as well as subjective indicators such as feeling satisfied and happy etc</w:t>
      </w:r>
      <w:r w:rsidRPr="00615171">
        <w:rPr>
          <w:rFonts w:asciiTheme="majorBidi" w:hAnsiTheme="majorBidi" w:cstheme="majorBidi"/>
          <w:color w:val="000000" w:themeColor="text1"/>
        </w:rPr>
        <w:t xml:space="preserve">. </w:t>
      </w:r>
      <w:r w:rsidR="008616EF" w:rsidRPr="00615171">
        <w:rPr>
          <w:rFonts w:asciiTheme="majorBidi" w:hAnsiTheme="majorBidi" w:cstheme="majorBidi"/>
          <w:color w:val="000000" w:themeColor="text1"/>
        </w:rPr>
        <w:t xml:space="preserve">The flowchart in Figure 1 by Graham and Kelly (2004) illustrates how wider determinants and an individual’s social position might connect to a person’s health and wellbeing (Figure 1). An individual’s social position may reflect a range of structural inequalities, and perhaps occupy multiple positions (for example, a black African woman in a managerial </w:t>
      </w:r>
      <w:r w:rsidR="008616EF" w:rsidRPr="00615171">
        <w:rPr>
          <w:rFonts w:asciiTheme="majorBidi" w:hAnsiTheme="majorBidi" w:cstheme="majorBidi"/>
          <w:color w:val="000000" w:themeColor="text1"/>
        </w:rPr>
        <w:lastRenderedPageBreak/>
        <w:t xml:space="preserve">position or a white British man in a manual occupation). Social position plays a fundamental part in health </w:t>
      </w:r>
      <w:r w:rsidR="00E45D9C" w:rsidRPr="00615171">
        <w:rPr>
          <w:rFonts w:asciiTheme="majorBidi" w:hAnsiTheme="majorBidi" w:cstheme="majorBidi"/>
          <w:color w:val="000000" w:themeColor="text1"/>
        </w:rPr>
        <w:t>and the experience of illness, be</w:t>
      </w:r>
      <w:r w:rsidR="008616EF" w:rsidRPr="00615171">
        <w:rPr>
          <w:rFonts w:asciiTheme="majorBidi" w:hAnsiTheme="majorBidi" w:cstheme="majorBidi"/>
          <w:color w:val="000000" w:themeColor="text1"/>
        </w:rPr>
        <w:t xml:space="preserve">cause of its pivotal role in the casual chain by which the social determinants connect and influences health. For example, social positions may be reflected in a person’s position in the labour market and their educational attainment which in turn influence the extent to which they </w:t>
      </w:r>
      <w:r w:rsidR="00E45D9C" w:rsidRPr="00615171">
        <w:rPr>
          <w:rFonts w:asciiTheme="majorBidi" w:hAnsiTheme="majorBidi" w:cstheme="majorBidi"/>
          <w:color w:val="000000" w:themeColor="text1"/>
        </w:rPr>
        <w:t>may have been</w:t>
      </w:r>
      <w:r w:rsidR="008616EF" w:rsidRPr="00615171">
        <w:rPr>
          <w:rFonts w:asciiTheme="majorBidi" w:hAnsiTheme="majorBidi" w:cstheme="majorBidi"/>
          <w:color w:val="000000" w:themeColor="text1"/>
        </w:rPr>
        <w:t xml:space="preserve"> exposed to health risk factors such as workplace hazards and poor diet for instance.</w:t>
      </w:r>
    </w:p>
    <w:p w14:paraId="184270B5" w14:textId="77777777" w:rsidR="00244695" w:rsidRPr="00615171" w:rsidRDefault="00244695" w:rsidP="00244695">
      <w:pPr>
        <w:spacing w:after="0" w:line="240" w:lineRule="auto"/>
        <w:jc w:val="both"/>
        <w:rPr>
          <w:rFonts w:asciiTheme="majorBidi" w:hAnsiTheme="majorBidi" w:cstheme="majorBidi"/>
          <w:b/>
          <w:color w:val="000000" w:themeColor="text1"/>
          <w:sz w:val="24"/>
          <w:szCs w:val="24"/>
        </w:rPr>
      </w:pPr>
    </w:p>
    <w:p w14:paraId="47EA991C" w14:textId="1E7AB490" w:rsidR="00244695" w:rsidRPr="00615171" w:rsidRDefault="00244695" w:rsidP="00715990">
      <w:pPr>
        <w:spacing w:after="0" w:line="240" w:lineRule="auto"/>
        <w:ind w:firstLine="720"/>
        <w:jc w:val="center"/>
        <w:rPr>
          <w:rFonts w:asciiTheme="majorBidi" w:hAnsiTheme="majorBidi" w:cstheme="majorBidi"/>
          <w:color w:val="000000" w:themeColor="text1"/>
          <w:sz w:val="24"/>
          <w:szCs w:val="24"/>
        </w:rPr>
      </w:pPr>
      <w:r w:rsidRPr="00615171">
        <w:rPr>
          <w:rFonts w:asciiTheme="majorBidi" w:hAnsiTheme="majorBidi" w:cstheme="majorBidi"/>
          <w:b/>
          <w:color w:val="000000" w:themeColor="text1"/>
          <w:sz w:val="24"/>
          <w:szCs w:val="24"/>
        </w:rPr>
        <w:t>Figure</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b/>
          <w:color w:val="000000" w:themeColor="text1"/>
          <w:sz w:val="24"/>
          <w:szCs w:val="24"/>
        </w:rPr>
        <w:t>1</w:t>
      </w:r>
      <w:r w:rsidRPr="00615171">
        <w:rPr>
          <w:rFonts w:asciiTheme="majorBidi" w:hAnsiTheme="majorBidi" w:cstheme="majorBidi"/>
          <w:color w:val="000000" w:themeColor="text1"/>
          <w:sz w:val="24"/>
          <w:szCs w:val="24"/>
        </w:rPr>
        <w:t xml:space="preserve">: </w:t>
      </w:r>
      <w:r w:rsidR="000E5BEA" w:rsidRPr="00615171">
        <w:rPr>
          <w:rFonts w:asciiTheme="majorBidi" w:hAnsiTheme="majorBidi" w:cstheme="majorBidi"/>
          <w:color w:val="000000" w:themeColor="text1"/>
          <w:sz w:val="24"/>
          <w:szCs w:val="24"/>
        </w:rPr>
        <w:t>Connection of key health determinants</w:t>
      </w:r>
      <w:r w:rsidRPr="00615171">
        <w:rPr>
          <w:rFonts w:asciiTheme="majorBidi" w:hAnsiTheme="majorBidi" w:cstheme="majorBidi"/>
          <w:color w:val="000000" w:themeColor="text1"/>
          <w:sz w:val="24"/>
          <w:szCs w:val="24"/>
        </w:rPr>
        <w:t>.</w:t>
      </w:r>
    </w:p>
    <w:p w14:paraId="0E009A58" w14:textId="77777777" w:rsidR="00244695" w:rsidRPr="00615171" w:rsidRDefault="00244695" w:rsidP="00244695">
      <w:pPr>
        <w:spacing w:after="0" w:line="240" w:lineRule="auto"/>
        <w:jc w:val="both"/>
        <w:rPr>
          <w:rFonts w:asciiTheme="majorBidi" w:hAnsiTheme="majorBidi" w:cstheme="majorBidi"/>
          <w:color w:val="000000" w:themeColor="text1"/>
          <w:sz w:val="24"/>
          <w:szCs w:val="24"/>
        </w:rPr>
      </w:pPr>
    </w:p>
    <w:p w14:paraId="482DED46" w14:textId="77777777" w:rsidR="00244695" w:rsidRPr="00615171" w:rsidRDefault="00244695" w:rsidP="00244695">
      <w:pPr>
        <w:spacing w:after="0" w:line="240" w:lineRule="auto"/>
        <w:jc w:val="center"/>
        <w:rPr>
          <w:rFonts w:asciiTheme="majorBidi" w:hAnsiTheme="majorBidi" w:cstheme="majorBidi"/>
          <w:color w:val="000000" w:themeColor="text1"/>
          <w:sz w:val="24"/>
          <w:szCs w:val="24"/>
        </w:rPr>
      </w:pPr>
      <w:r w:rsidRPr="00615171">
        <w:rPr>
          <w:rFonts w:asciiTheme="majorBidi" w:hAnsiTheme="majorBidi" w:cstheme="majorBidi"/>
          <w:noProof/>
          <w:color w:val="000000" w:themeColor="text1"/>
          <w:sz w:val="24"/>
          <w:szCs w:val="24"/>
          <w:lang w:val="en-GB" w:eastAsia="zh-CN"/>
        </w:rPr>
        <w:drawing>
          <wp:inline distT="0" distB="0" distL="0" distR="0" wp14:anchorId="6B95174E" wp14:editId="51ABF61C">
            <wp:extent cx="5483252" cy="2628133"/>
            <wp:effectExtent l="19050" t="19050" r="22225" b="3937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prstClr val="black"/>
                        <a:srgbClr val="F9F9F9">
                          <a:tint val="45000"/>
                          <a:satMod val="400000"/>
                        </a:srgbClr>
                      </a:duotone>
                      <a:lum contrast="62000"/>
                    </a:blip>
                    <a:srcRect/>
                    <a:stretch>
                      <a:fillRect/>
                    </a:stretch>
                  </pic:blipFill>
                  <pic:spPr bwMode="auto">
                    <a:xfrm>
                      <a:off x="0" y="0"/>
                      <a:ext cx="5490005" cy="2631370"/>
                    </a:xfrm>
                    <a:prstGeom prst="rect">
                      <a:avLst/>
                    </a:prstGeom>
                    <a:noFill/>
                    <a:ln w="9525">
                      <a:solidFill>
                        <a:schemeClr val="accent1"/>
                      </a:solidFill>
                      <a:miter lim="800000"/>
                      <a:headEnd/>
                      <a:tailEnd/>
                    </a:ln>
                    <a:effectLst>
                      <a:outerShdw blurRad="50800" dist="50800" dir="5400000" sx="93000" sy="93000" algn="ctr" rotWithShape="0">
                        <a:schemeClr val="bg1"/>
                      </a:outerShdw>
                    </a:effectLst>
                  </pic:spPr>
                </pic:pic>
              </a:graphicData>
            </a:graphic>
          </wp:inline>
        </w:drawing>
      </w:r>
    </w:p>
    <w:p w14:paraId="4DEBD69D" w14:textId="77777777" w:rsidR="00244695" w:rsidRPr="00615171" w:rsidRDefault="00244695" w:rsidP="00244695">
      <w:pPr>
        <w:spacing w:after="0" w:line="240" w:lineRule="auto"/>
        <w:ind w:firstLine="720"/>
        <w:jc w:val="both"/>
        <w:rPr>
          <w:rFonts w:asciiTheme="majorBidi" w:hAnsiTheme="majorBidi" w:cstheme="majorBidi"/>
          <w:i/>
          <w:iCs/>
          <w:color w:val="000000" w:themeColor="text1"/>
          <w:sz w:val="24"/>
          <w:szCs w:val="24"/>
        </w:rPr>
      </w:pPr>
      <w:r w:rsidRPr="00615171">
        <w:rPr>
          <w:rFonts w:asciiTheme="majorBidi" w:hAnsiTheme="majorBidi" w:cstheme="majorBidi"/>
          <w:i/>
          <w:iCs/>
          <w:color w:val="000000" w:themeColor="text1"/>
          <w:sz w:val="24"/>
          <w:szCs w:val="24"/>
        </w:rPr>
        <w:t>Source: Graham and Kelly (2004)</w:t>
      </w:r>
    </w:p>
    <w:p w14:paraId="7ED6732C" w14:textId="77777777" w:rsidR="00244695" w:rsidRPr="00615171" w:rsidRDefault="00244695" w:rsidP="00DF4316">
      <w:pPr>
        <w:spacing w:after="0" w:line="240" w:lineRule="auto"/>
        <w:ind w:firstLine="720"/>
        <w:jc w:val="both"/>
        <w:rPr>
          <w:rFonts w:asciiTheme="majorBidi" w:hAnsiTheme="majorBidi" w:cstheme="majorBidi"/>
          <w:color w:val="000000" w:themeColor="text1"/>
          <w:sz w:val="24"/>
          <w:szCs w:val="24"/>
        </w:rPr>
      </w:pPr>
    </w:p>
    <w:p w14:paraId="637A1256" w14:textId="77777777" w:rsidR="00327781" w:rsidRPr="00615171" w:rsidRDefault="00327781" w:rsidP="00DF4316">
      <w:pPr>
        <w:spacing w:after="0" w:line="240" w:lineRule="auto"/>
        <w:ind w:firstLine="720"/>
        <w:jc w:val="center"/>
        <w:rPr>
          <w:rFonts w:asciiTheme="majorBidi" w:hAnsiTheme="majorBidi" w:cstheme="majorBidi"/>
          <w:b/>
          <w:color w:val="000000" w:themeColor="text1"/>
          <w:sz w:val="24"/>
          <w:szCs w:val="24"/>
        </w:rPr>
      </w:pPr>
    </w:p>
    <w:p w14:paraId="11501533" w14:textId="77777777" w:rsidR="00244695" w:rsidRPr="00615171" w:rsidRDefault="00244695" w:rsidP="00DF4316">
      <w:pPr>
        <w:spacing w:after="0" w:line="240" w:lineRule="auto"/>
        <w:ind w:firstLine="720"/>
        <w:jc w:val="center"/>
        <w:rPr>
          <w:rFonts w:asciiTheme="majorBidi" w:hAnsiTheme="majorBidi" w:cstheme="majorBidi"/>
          <w:b/>
          <w:color w:val="000000" w:themeColor="text1"/>
          <w:sz w:val="24"/>
          <w:szCs w:val="24"/>
        </w:rPr>
      </w:pPr>
    </w:p>
    <w:p w14:paraId="5E66BAAA" w14:textId="73824BF7" w:rsidR="00DF4316" w:rsidRPr="00615171" w:rsidRDefault="00CE71E9" w:rsidP="00DF4316">
      <w:pPr>
        <w:spacing w:after="0" w:line="240" w:lineRule="auto"/>
        <w:ind w:firstLine="720"/>
        <w:jc w:val="center"/>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t>HEALTH STATUS OF OLDER PEOPLE</w:t>
      </w:r>
      <w:r w:rsidR="00DF4316" w:rsidRPr="00615171">
        <w:rPr>
          <w:rFonts w:asciiTheme="majorBidi" w:hAnsiTheme="majorBidi" w:cstheme="majorBidi"/>
          <w:b/>
          <w:color w:val="000000" w:themeColor="text1"/>
          <w:sz w:val="24"/>
          <w:szCs w:val="24"/>
        </w:rPr>
        <w:t xml:space="preserve"> IN </w:t>
      </w:r>
      <w:r w:rsidR="00A22F10" w:rsidRPr="00615171">
        <w:rPr>
          <w:rFonts w:asciiTheme="majorBidi" w:hAnsiTheme="majorBidi" w:cstheme="majorBidi"/>
          <w:b/>
          <w:color w:val="000000" w:themeColor="text1"/>
          <w:sz w:val="24"/>
          <w:szCs w:val="24"/>
        </w:rPr>
        <w:t xml:space="preserve">THE </w:t>
      </w:r>
      <w:r w:rsidR="00DF4316" w:rsidRPr="00615171">
        <w:rPr>
          <w:rFonts w:asciiTheme="majorBidi" w:hAnsiTheme="majorBidi" w:cstheme="majorBidi"/>
          <w:b/>
          <w:color w:val="000000" w:themeColor="text1"/>
          <w:sz w:val="24"/>
          <w:szCs w:val="24"/>
        </w:rPr>
        <w:t>UK</w:t>
      </w:r>
    </w:p>
    <w:p w14:paraId="59F78001" w14:textId="77777777" w:rsidR="001C32BA" w:rsidRPr="00615171" w:rsidRDefault="001C32BA" w:rsidP="00623739">
      <w:pPr>
        <w:spacing w:after="0" w:line="240" w:lineRule="auto"/>
        <w:jc w:val="both"/>
        <w:rPr>
          <w:rFonts w:asciiTheme="majorBidi" w:hAnsiTheme="majorBidi" w:cstheme="majorBidi"/>
          <w:color w:val="000000" w:themeColor="text1"/>
          <w:sz w:val="24"/>
          <w:szCs w:val="24"/>
        </w:rPr>
      </w:pPr>
    </w:p>
    <w:p w14:paraId="21AA837D" w14:textId="50EF56C3" w:rsidR="00706194" w:rsidRPr="00615171" w:rsidRDefault="004D5B70" w:rsidP="00177A29">
      <w:pPr>
        <w:spacing w:after="0" w:line="240" w:lineRule="auto"/>
        <w:ind w:firstLine="720"/>
        <w:jc w:val="both"/>
        <w:rPr>
          <w:rFonts w:asciiTheme="majorBidi" w:hAnsiTheme="majorBidi" w:cstheme="majorBidi"/>
          <w:color w:val="000000" w:themeColor="text1"/>
          <w:sz w:val="24"/>
          <w:szCs w:val="24"/>
          <w:shd w:val="clear" w:color="auto" w:fill="FFFFFF"/>
        </w:rPr>
      </w:pPr>
      <w:r w:rsidRPr="00615171">
        <w:rPr>
          <w:rFonts w:asciiTheme="majorBidi" w:hAnsiTheme="majorBidi" w:cstheme="majorBidi"/>
          <w:color w:val="000000" w:themeColor="text1"/>
          <w:sz w:val="24"/>
          <w:szCs w:val="24"/>
        </w:rPr>
        <w:t xml:space="preserve">In the UK, there is a persistent gradient in mortality and morbidity or illness according to the levels of socio-economic positions (Tanaka </w:t>
      </w:r>
      <w:r w:rsidRPr="00615171">
        <w:rPr>
          <w:rFonts w:asciiTheme="majorBidi" w:hAnsiTheme="majorBidi" w:cstheme="majorBidi"/>
          <w:i/>
          <w:color w:val="000000" w:themeColor="text1"/>
          <w:sz w:val="24"/>
          <w:szCs w:val="24"/>
        </w:rPr>
        <w:t>et al.</w:t>
      </w:r>
      <w:r w:rsidRPr="00615171">
        <w:rPr>
          <w:rFonts w:asciiTheme="majorBidi" w:hAnsiTheme="majorBidi" w:cstheme="majorBidi"/>
          <w:color w:val="000000" w:themeColor="text1"/>
          <w:sz w:val="24"/>
          <w:szCs w:val="24"/>
        </w:rPr>
        <w:t xml:space="preserve">, 2011). </w:t>
      </w:r>
      <w:r w:rsidR="003F056B" w:rsidRPr="00615171">
        <w:rPr>
          <w:rFonts w:asciiTheme="majorBidi" w:hAnsiTheme="majorBidi" w:cstheme="majorBidi"/>
          <w:color w:val="000000" w:themeColor="text1"/>
          <w:sz w:val="24"/>
          <w:szCs w:val="24"/>
        </w:rPr>
        <w:t xml:space="preserve">The </w:t>
      </w:r>
      <w:r w:rsidR="00D44B04" w:rsidRPr="00615171">
        <w:rPr>
          <w:rFonts w:asciiTheme="majorBidi" w:hAnsiTheme="majorBidi" w:cstheme="majorBidi"/>
          <w:color w:val="000000" w:themeColor="text1"/>
          <w:sz w:val="24"/>
          <w:szCs w:val="24"/>
        </w:rPr>
        <w:t>Department of Health (2012)</w:t>
      </w:r>
      <w:r w:rsidR="003F056B" w:rsidRPr="00615171">
        <w:rPr>
          <w:rFonts w:asciiTheme="majorBidi" w:hAnsiTheme="majorBidi" w:cstheme="majorBidi"/>
          <w:color w:val="000000" w:themeColor="text1"/>
          <w:sz w:val="24"/>
          <w:szCs w:val="24"/>
        </w:rPr>
        <w:t xml:space="preserve"> report</w:t>
      </w:r>
      <w:r w:rsidR="008616EF" w:rsidRPr="00615171">
        <w:rPr>
          <w:rFonts w:asciiTheme="majorBidi" w:hAnsiTheme="majorBidi" w:cstheme="majorBidi"/>
          <w:color w:val="000000" w:themeColor="text1"/>
          <w:sz w:val="24"/>
          <w:szCs w:val="24"/>
        </w:rPr>
        <w:t>ed</w:t>
      </w:r>
      <w:r w:rsidR="003F056B" w:rsidRPr="00615171">
        <w:rPr>
          <w:rFonts w:asciiTheme="majorBidi" w:hAnsiTheme="majorBidi" w:cstheme="majorBidi"/>
          <w:color w:val="000000" w:themeColor="text1"/>
          <w:sz w:val="24"/>
          <w:szCs w:val="24"/>
        </w:rPr>
        <w:t xml:space="preserve"> that </w:t>
      </w:r>
      <w:r w:rsidR="008616EF" w:rsidRPr="00615171">
        <w:rPr>
          <w:rFonts w:asciiTheme="majorBidi" w:hAnsiTheme="majorBidi" w:cstheme="majorBidi"/>
          <w:color w:val="000000" w:themeColor="text1"/>
          <w:sz w:val="24"/>
          <w:szCs w:val="24"/>
        </w:rPr>
        <w:t>approximately</w:t>
      </w:r>
      <w:r w:rsidR="001C32BA" w:rsidRPr="00615171">
        <w:rPr>
          <w:rFonts w:asciiTheme="majorBidi" w:hAnsiTheme="majorBidi" w:cstheme="majorBidi"/>
          <w:color w:val="000000" w:themeColor="text1"/>
          <w:sz w:val="24"/>
          <w:szCs w:val="24"/>
        </w:rPr>
        <w:t xml:space="preserve"> 15 million people </w:t>
      </w:r>
      <w:r w:rsidR="003F056B" w:rsidRPr="00615171">
        <w:rPr>
          <w:rFonts w:asciiTheme="majorBidi" w:hAnsiTheme="majorBidi" w:cstheme="majorBidi"/>
          <w:color w:val="000000" w:themeColor="text1"/>
          <w:sz w:val="24"/>
          <w:szCs w:val="24"/>
        </w:rPr>
        <w:t xml:space="preserve">living in England </w:t>
      </w:r>
      <w:r w:rsidR="001C32BA" w:rsidRPr="00615171">
        <w:rPr>
          <w:rFonts w:asciiTheme="majorBidi" w:hAnsiTheme="majorBidi" w:cstheme="majorBidi"/>
          <w:color w:val="000000" w:themeColor="text1"/>
          <w:sz w:val="24"/>
          <w:szCs w:val="24"/>
        </w:rPr>
        <w:t xml:space="preserve">have </w:t>
      </w:r>
      <w:r w:rsidR="00715990" w:rsidRPr="00615171">
        <w:rPr>
          <w:rFonts w:asciiTheme="majorBidi" w:hAnsiTheme="majorBidi" w:cstheme="majorBidi"/>
          <w:color w:val="000000" w:themeColor="text1"/>
          <w:sz w:val="24"/>
          <w:szCs w:val="24"/>
        </w:rPr>
        <w:t xml:space="preserve">some kind of </w:t>
      </w:r>
      <w:r w:rsidR="001C32BA" w:rsidRPr="00615171">
        <w:rPr>
          <w:rFonts w:asciiTheme="majorBidi" w:hAnsiTheme="majorBidi" w:cstheme="majorBidi"/>
          <w:color w:val="000000" w:themeColor="text1"/>
          <w:sz w:val="24"/>
          <w:szCs w:val="24"/>
        </w:rPr>
        <w:t>long-term health condition</w:t>
      </w:r>
      <w:r w:rsidR="0036545F" w:rsidRPr="00615171">
        <w:rPr>
          <w:rFonts w:asciiTheme="majorBidi" w:hAnsiTheme="majorBidi" w:cstheme="majorBidi"/>
          <w:color w:val="000000" w:themeColor="text1"/>
          <w:sz w:val="24"/>
          <w:szCs w:val="24"/>
        </w:rPr>
        <w:t xml:space="preserve"> or illness</w:t>
      </w:r>
      <w:r w:rsidR="001C32BA" w:rsidRPr="00615171">
        <w:rPr>
          <w:rFonts w:asciiTheme="majorBidi" w:hAnsiTheme="majorBidi" w:cstheme="majorBidi"/>
          <w:color w:val="000000" w:themeColor="text1"/>
          <w:sz w:val="24"/>
          <w:szCs w:val="24"/>
        </w:rPr>
        <w:t xml:space="preserve">. </w:t>
      </w:r>
      <w:r w:rsidR="001E3706" w:rsidRPr="00615171">
        <w:rPr>
          <w:rFonts w:asciiTheme="majorBidi" w:hAnsiTheme="majorBidi" w:cstheme="majorBidi"/>
          <w:color w:val="000000" w:themeColor="text1"/>
          <w:sz w:val="24"/>
          <w:szCs w:val="24"/>
          <w:shd w:val="clear" w:color="auto" w:fill="FFFFFF"/>
        </w:rPr>
        <w:t xml:space="preserve">Long-term </w:t>
      </w:r>
      <w:r w:rsidR="005857A0" w:rsidRPr="00615171">
        <w:rPr>
          <w:rFonts w:asciiTheme="majorBidi" w:hAnsiTheme="majorBidi" w:cstheme="majorBidi"/>
          <w:color w:val="000000" w:themeColor="text1"/>
          <w:sz w:val="24"/>
          <w:szCs w:val="24"/>
          <w:shd w:val="clear" w:color="auto" w:fill="FFFFFF"/>
        </w:rPr>
        <w:t>conditions are more prevalent among</w:t>
      </w:r>
      <w:r w:rsidR="001E3706" w:rsidRPr="00615171">
        <w:rPr>
          <w:rFonts w:asciiTheme="majorBidi" w:hAnsiTheme="majorBidi" w:cstheme="majorBidi"/>
          <w:color w:val="000000" w:themeColor="text1"/>
          <w:sz w:val="24"/>
          <w:szCs w:val="24"/>
          <w:shd w:val="clear" w:color="auto" w:fill="FFFFFF"/>
        </w:rPr>
        <w:t xml:space="preserve"> older people (58 per cent of people over 60 compared to 14 per cent under 40) and in more deprived groups (people in the poo</w:t>
      </w:r>
      <w:r w:rsidR="0006769F" w:rsidRPr="00615171">
        <w:rPr>
          <w:rFonts w:asciiTheme="majorBidi" w:hAnsiTheme="majorBidi" w:cstheme="majorBidi"/>
          <w:color w:val="000000" w:themeColor="text1"/>
          <w:sz w:val="24"/>
          <w:szCs w:val="24"/>
          <w:shd w:val="clear" w:color="auto" w:fill="FFFFFF"/>
        </w:rPr>
        <w:t>rest social class have a 60 per</w:t>
      </w:r>
      <w:r w:rsidR="001E3706" w:rsidRPr="00615171">
        <w:rPr>
          <w:rFonts w:asciiTheme="majorBidi" w:hAnsiTheme="majorBidi" w:cstheme="majorBidi"/>
          <w:color w:val="000000" w:themeColor="text1"/>
          <w:sz w:val="24"/>
          <w:szCs w:val="24"/>
          <w:shd w:val="clear" w:color="auto" w:fill="FFFFFF"/>
        </w:rPr>
        <w:t xml:space="preserve">cent higher prevalence than those in the richest social class and </w:t>
      </w:r>
      <w:r w:rsidR="0006769F" w:rsidRPr="00615171">
        <w:rPr>
          <w:rFonts w:asciiTheme="majorBidi" w:hAnsiTheme="majorBidi" w:cstheme="majorBidi"/>
          <w:color w:val="000000" w:themeColor="text1"/>
          <w:sz w:val="24"/>
          <w:szCs w:val="24"/>
          <w:shd w:val="clear" w:color="auto" w:fill="FFFFFF"/>
        </w:rPr>
        <w:t>30 per</w:t>
      </w:r>
      <w:r w:rsidR="001E3706" w:rsidRPr="00615171">
        <w:rPr>
          <w:rFonts w:asciiTheme="majorBidi" w:hAnsiTheme="majorBidi" w:cstheme="majorBidi"/>
          <w:color w:val="000000" w:themeColor="text1"/>
          <w:sz w:val="24"/>
          <w:szCs w:val="24"/>
          <w:shd w:val="clear" w:color="auto" w:fill="FFFFFF"/>
        </w:rPr>
        <w:t>cent more severity of disease</w:t>
      </w:r>
      <w:r w:rsidR="00EB528B" w:rsidRPr="00615171">
        <w:rPr>
          <w:rFonts w:asciiTheme="majorBidi" w:hAnsiTheme="majorBidi" w:cstheme="majorBidi"/>
          <w:color w:val="000000" w:themeColor="text1"/>
          <w:sz w:val="24"/>
          <w:szCs w:val="24"/>
          <w:shd w:val="clear" w:color="auto" w:fill="FFFFFF"/>
        </w:rPr>
        <w:t>s</w:t>
      </w:r>
      <w:r w:rsidR="00715990" w:rsidRPr="00615171">
        <w:rPr>
          <w:rFonts w:asciiTheme="majorBidi" w:hAnsiTheme="majorBidi" w:cstheme="majorBidi"/>
          <w:color w:val="000000" w:themeColor="text1"/>
          <w:sz w:val="24"/>
          <w:szCs w:val="24"/>
          <w:shd w:val="clear" w:color="auto" w:fill="FFFFFF"/>
        </w:rPr>
        <w:t>)</w:t>
      </w:r>
      <w:r w:rsidR="00281705" w:rsidRPr="00615171">
        <w:rPr>
          <w:rFonts w:asciiTheme="majorBidi" w:hAnsiTheme="majorBidi" w:cstheme="majorBidi"/>
          <w:color w:val="000000" w:themeColor="text1"/>
          <w:sz w:val="24"/>
          <w:szCs w:val="24"/>
        </w:rPr>
        <w:t xml:space="preserve">. </w:t>
      </w:r>
      <w:r w:rsidR="003F056B" w:rsidRPr="00615171">
        <w:rPr>
          <w:rFonts w:asciiTheme="majorBidi" w:hAnsiTheme="majorBidi" w:cstheme="majorBidi"/>
          <w:color w:val="000000" w:themeColor="text1"/>
          <w:sz w:val="24"/>
          <w:szCs w:val="24"/>
        </w:rPr>
        <w:t>Further</w:t>
      </w:r>
      <w:r w:rsidR="008616EF" w:rsidRPr="00615171">
        <w:rPr>
          <w:rFonts w:asciiTheme="majorBidi" w:hAnsiTheme="majorBidi" w:cstheme="majorBidi"/>
          <w:color w:val="000000" w:themeColor="text1"/>
          <w:sz w:val="24"/>
          <w:szCs w:val="24"/>
        </w:rPr>
        <w:t xml:space="preserve">; </w:t>
      </w:r>
      <w:r w:rsidR="008616EF" w:rsidRPr="00615171">
        <w:rPr>
          <w:rStyle w:val="Heading4Char"/>
          <w:rFonts w:asciiTheme="majorBidi" w:eastAsiaTheme="minorEastAsia" w:hAnsiTheme="majorBidi" w:cstheme="majorBidi"/>
          <w:b w:val="0"/>
          <w:color w:val="000000" w:themeColor="text1"/>
          <w:shd w:val="clear" w:color="auto" w:fill="FFFFFF"/>
        </w:rPr>
        <w:t>these</w:t>
      </w:r>
      <w:r w:rsidR="001E3706" w:rsidRPr="00615171">
        <w:rPr>
          <w:rFonts w:asciiTheme="majorBidi" w:hAnsiTheme="majorBidi" w:cstheme="majorBidi"/>
          <w:color w:val="000000" w:themeColor="text1"/>
          <w:sz w:val="24"/>
          <w:szCs w:val="24"/>
          <w:shd w:val="clear" w:color="auto" w:fill="FFFFFF"/>
        </w:rPr>
        <w:t xml:space="preserve"> numbers are </w:t>
      </w:r>
      <w:r w:rsidR="00794C44" w:rsidRPr="00615171">
        <w:rPr>
          <w:rFonts w:asciiTheme="majorBidi" w:hAnsiTheme="majorBidi" w:cstheme="majorBidi"/>
          <w:color w:val="000000" w:themeColor="text1"/>
          <w:sz w:val="24"/>
          <w:szCs w:val="24"/>
          <w:shd w:val="clear" w:color="auto" w:fill="FFFFFF"/>
        </w:rPr>
        <w:t>increasing both</w:t>
      </w:r>
      <w:r w:rsidR="003F056B" w:rsidRPr="00615171">
        <w:rPr>
          <w:rFonts w:asciiTheme="majorBidi" w:hAnsiTheme="majorBidi" w:cstheme="majorBidi"/>
          <w:color w:val="000000" w:themeColor="text1"/>
          <w:sz w:val="24"/>
          <w:szCs w:val="24"/>
          <w:shd w:val="clear" w:color="auto" w:fill="FFFFFF"/>
        </w:rPr>
        <w:t xml:space="preserve"> for</w:t>
      </w:r>
      <w:r w:rsidR="00281705" w:rsidRPr="00615171">
        <w:rPr>
          <w:rFonts w:asciiTheme="majorBidi" w:hAnsiTheme="majorBidi" w:cstheme="majorBidi"/>
          <w:color w:val="000000" w:themeColor="text1"/>
          <w:sz w:val="24"/>
          <w:szCs w:val="24"/>
          <w:shd w:val="clear" w:color="auto" w:fill="FFFFFF"/>
        </w:rPr>
        <w:t xml:space="preserve"> </w:t>
      </w:r>
      <w:r w:rsidR="00794C44" w:rsidRPr="00615171">
        <w:rPr>
          <w:rFonts w:asciiTheme="majorBidi" w:hAnsiTheme="majorBidi" w:cstheme="majorBidi"/>
          <w:color w:val="000000" w:themeColor="text1"/>
          <w:sz w:val="24"/>
          <w:szCs w:val="24"/>
          <w:shd w:val="clear" w:color="auto" w:fill="FFFFFF"/>
        </w:rPr>
        <w:t xml:space="preserve">the existence of </w:t>
      </w:r>
      <w:r w:rsidR="00281705" w:rsidRPr="00615171">
        <w:rPr>
          <w:rFonts w:asciiTheme="majorBidi" w:hAnsiTheme="majorBidi" w:cstheme="majorBidi"/>
          <w:color w:val="000000" w:themeColor="text1"/>
          <w:sz w:val="24"/>
          <w:szCs w:val="24"/>
          <w:shd w:val="clear" w:color="auto" w:fill="FFFFFF"/>
        </w:rPr>
        <w:t>individual conditions</w:t>
      </w:r>
      <w:r w:rsidR="001E3706" w:rsidRPr="00615171">
        <w:rPr>
          <w:rFonts w:asciiTheme="majorBidi" w:hAnsiTheme="majorBidi" w:cstheme="majorBidi"/>
          <w:color w:val="000000" w:themeColor="text1"/>
          <w:sz w:val="24"/>
          <w:szCs w:val="24"/>
          <w:shd w:val="clear" w:color="auto" w:fill="FFFFFF"/>
        </w:rPr>
        <w:t xml:space="preserve">, and </w:t>
      </w:r>
      <w:r w:rsidR="003F056B" w:rsidRPr="00615171">
        <w:rPr>
          <w:rFonts w:asciiTheme="majorBidi" w:hAnsiTheme="majorBidi" w:cstheme="majorBidi"/>
          <w:color w:val="000000" w:themeColor="text1"/>
          <w:sz w:val="24"/>
          <w:szCs w:val="24"/>
          <w:shd w:val="clear" w:color="auto" w:fill="FFFFFF"/>
        </w:rPr>
        <w:t xml:space="preserve">in </w:t>
      </w:r>
      <w:r w:rsidR="001E3706" w:rsidRPr="00615171">
        <w:rPr>
          <w:rFonts w:asciiTheme="majorBidi" w:hAnsiTheme="majorBidi" w:cstheme="majorBidi"/>
          <w:color w:val="000000" w:themeColor="text1"/>
          <w:sz w:val="24"/>
          <w:szCs w:val="24"/>
          <w:shd w:val="clear" w:color="auto" w:fill="FFFFFF"/>
        </w:rPr>
        <w:t xml:space="preserve">the number of people </w:t>
      </w:r>
      <w:r w:rsidR="003F056B" w:rsidRPr="00615171">
        <w:rPr>
          <w:rFonts w:asciiTheme="majorBidi" w:hAnsiTheme="majorBidi" w:cstheme="majorBidi"/>
          <w:color w:val="000000" w:themeColor="text1"/>
          <w:sz w:val="24"/>
          <w:szCs w:val="24"/>
          <w:shd w:val="clear" w:color="auto" w:fill="FFFFFF"/>
        </w:rPr>
        <w:t xml:space="preserve">living </w:t>
      </w:r>
      <w:r w:rsidR="001E3706" w:rsidRPr="00615171">
        <w:rPr>
          <w:rFonts w:asciiTheme="majorBidi" w:hAnsiTheme="majorBidi" w:cstheme="majorBidi"/>
          <w:color w:val="000000" w:themeColor="text1"/>
          <w:sz w:val="24"/>
          <w:szCs w:val="24"/>
          <w:shd w:val="clear" w:color="auto" w:fill="FFFFFF"/>
        </w:rPr>
        <w:t xml:space="preserve">with multiple </w:t>
      </w:r>
      <w:r w:rsidR="00B979C2" w:rsidRPr="00615171">
        <w:rPr>
          <w:rFonts w:asciiTheme="majorBidi" w:hAnsiTheme="majorBidi" w:cstheme="majorBidi"/>
          <w:color w:val="000000" w:themeColor="text1"/>
          <w:sz w:val="24"/>
          <w:szCs w:val="24"/>
          <w:shd w:val="clear" w:color="auto" w:fill="FFFFFF"/>
        </w:rPr>
        <w:t xml:space="preserve">and complex </w:t>
      </w:r>
      <w:r w:rsidR="001E3706" w:rsidRPr="00615171">
        <w:rPr>
          <w:rFonts w:asciiTheme="majorBidi" w:hAnsiTheme="majorBidi" w:cstheme="majorBidi"/>
          <w:color w:val="000000" w:themeColor="text1"/>
          <w:sz w:val="24"/>
          <w:szCs w:val="24"/>
          <w:shd w:val="clear" w:color="auto" w:fill="FFFFFF"/>
        </w:rPr>
        <w:t>long-term conditions.</w:t>
      </w:r>
      <w:r w:rsidR="00DD0303" w:rsidRPr="00615171">
        <w:rPr>
          <w:rFonts w:asciiTheme="majorBidi" w:hAnsiTheme="majorBidi" w:cstheme="majorBidi"/>
          <w:color w:val="000000" w:themeColor="text1"/>
          <w:sz w:val="24"/>
          <w:szCs w:val="24"/>
          <w:shd w:val="clear" w:color="auto" w:fill="FFFFFF"/>
        </w:rPr>
        <w:t xml:space="preserve"> </w:t>
      </w:r>
      <w:r w:rsidR="00273048" w:rsidRPr="00615171">
        <w:rPr>
          <w:rFonts w:asciiTheme="majorBidi" w:hAnsiTheme="majorBidi" w:cstheme="majorBidi"/>
          <w:color w:val="000000" w:themeColor="text1"/>
          <w:sz w:val="24"/>
          <w:szCs w:val="24"/>
          <w:shd w:val="clear" w:color="auto" w:fill="FFFFFF"/>
        </w:rPr>
        <w:t>Advanced age remains the most important risk factor for increased disability and dependency and women experience more years with disability than men</w:t>
      </w:r>
      <w:r w:rsidR="00887910" w:rsidRPr="00615171">
        <w:rPr>
          <w:rFonts w:asciiTheme="majorBidi" w:hAnsiTheme="majorBidi" w:cstheme="majorBidi"/>
          <w:color w:val="000000" w:themeColor="text1"/>
          <w:sz w:val="24"/>
          <w:szCs w:val="24"/>
          <w:shd w:val="clear" w:color="auto" w:fill="FFFFFF"/>
        </w:rPr>
        <w:t>.</w:t>
      </w:r>
      <w:r w:rsidR="00273048" w:rsidRPr="00615171">
        <w:rPr>
          <w:rFonts w:asciiTheme="majorBidi" w:hAnsiTheme="majorBidi" w:cstheme="majorBidi"/>
          <w:color w:val="000000" w:themeColor="text1"/>
          <w:sz w:val="24"/>
          <w:szCs w:val="24"/>
          <w:shd w:val="clear" w:color="auto" w:fill="FFFFFF"/>
        </w:rPr>
        <w:t xml:space="preserve"> As with illness an</w:t>
      </w:r>
      <w:r w:rsidR="00E45D9C" w:rsidRPr="00615171">
        <w:rPr>
          <w:rFonts w:asciiTheme="majorBidi" w:hAnsiTheme="majorBidi" w:cstheme="majorBidi"/>
          <w:color w:val="000000" w:themeColor="text1"/>
          <w:sz w:val="24"/>
          <w:szCs w:val="24"/>
          <w:shd w:val="clear" w:color="auto" w:fill="FFFFFF"/>
        </w:rPr>
        <w:t>d</w:t>
      </w:r>
      <w:r w:rsidR="00273048" w:rsidRPr="00615171">
        <w:rPr>
          <w:rFonts w:asciiTheme="majorBidi" w:hAnsiTheme="majorBidi" w:cstheme="majorBidi"/>
          <w:color w:val="000000" w:themeColor="text1"/>
          <w:sz w:val="24"/>
          <w:szCs w:val="24"/>
          <w:shd w:val="clear" w:color="auto" w:fill="FFFFFF"/>
        </w:rPr>
        <w:t xml:space="preserve"> </w:t>
      </w:r>
      <w:r w:rsidR="00887910" w:rsidRPr="00615171">
        <w:rPr>
          <w:rFonts w:asciiTheme="majorBidi" w:hAnsiTheme="majorBidi" w:cstheme="majorBidi"/>
          <w:color w:val="000000" w:themeColor="text1"/>
          <w:sz w:val="24"/>
          <w:szCs w:val="24"/>
          <w:shd w:val="clear" w:color="auto" w:fill="FFFFFF"/>
        </w:rPr>
        <w:t>disease</w:t>
      </w:r>
      <w:r w:rsidR="00273048" w:rsidRPr="00615171">
        <w:rPr>
          <w:rFonts w:asciiTheme="majorBidi" w:hAnsiTheme="majorBidi" w:cstheme="majorBidi"/>
          <w:color w:val="000000" w:themeColor="text1"/>
          <w:sz w:val="24"/>
          <w:szCs w:val="24"/>
          <w:shd w:val="clear" w:color="auto" w:fill="FFFFFF"/>
        </w:rPr>
        <w:t xml:space="preserve">, people with lower SES are more likely to experience disability and </w:t>
      </w:r>
      <w:r w:rsidR="00887910" w:rsidRPr="00615171">
        <w:rPr>
          <w:rFonts w:asciiTheme="majorBidi" w:hAnsiTheme="majorBidi" w:cstheme="majorBidi"/>
          <w:color w:val="000000" w:themeColor="text1"/>
          <w:sz w:val="24"/>
          <w:szCs w:val="24"/>
          <w:shd w:val="clear" w:color="auto" w:fill="FFFFFF"/>
        </w:rPr>
        <w:t>dependency</w:t>
      </w:r>
      <w:r w:rsidR="00273048" w:rsidRPr="00615171">
        <w:rPr>
          <w:rFonts w:asciiTheme="majorBidi" w:hAnsiTheme="majorBidi" w:cstheme="majorBidi"/>
          <w:color w:val="000000" w:themeColor="text1"/>
          <w:sz w:val="24"/>
          <w:szCs w:val="24"/>
          <w:shd w:val="clear" w:color="auto" w:fill="FFFFFF"/>
        </w:rPr>
        <w:t xml:space="preserve"> at an earlier age than those with higher economic status</w:t>
      </w:r>
      <w:r w:rsidR="00887910" w:rsidRPr="00615171">
        <w:rPr>
          <w:rFonts w:asciiTheme="majorBidi" w:hAnsiTheme="majorBidi" w:cstheme="majorBidi"/>
          <w:color w:val="000000" w:themeColor="text1"/>
          <w:sz w:val="24"/>
          <w:szCs w:val="24"/>
          <w:shd w:val="clear" w:color="auto" w:fill="FFFFFF"/>
        </w:rPr>
        <w:t xml:space="preserve"> making capability a</w:t>
      </w:r>
      <w:r w:rsidR="00273048" w:rsidRPr="00615171">
        <w:rPr>
          <w:rFonts w:asciiTheme="majorBidi" w:hAnsiTheme="majorBidi" w:cstheme="majorBidi"/>
          <w:color w:val="000000" w:themeColor="text1"/>
          <w:sz w:val="24"/>
          <w:szCs w:val="24"/>
          <w:shd w:val="clear" w:color="auto" w:fill="FFFFFF"/>
        </w:rPr>
        <w:t>nd independency socially patterned</w:t>
      </w:r>
      <w:r w:rsidR="00887910" w:rsidRPr="00615171">
        <w:rPr>
          <w:rFonts w:asciiTheme="majorBidi" w:hAnsiTheme="majorBidi" w:cstheme="majorBidi"/>
          <w:color w:val="000000" w:themeColor="text1"/>
          <w:sz w:val="24"/>
          <w:szCs w:val="24"/>
          <w:shd w:val="clear" w:color="auto" w:fill="FFFFFF"/>
        </w:rPr>
        <w:t xml:space="preserve"> (MRC, CFAS, 2000).</w:t>
      </w:r>
      <w:r w:rsidR="00273048" w:rsidRPr="00615171">
        <w:rPr>
          <w:rFonts w:asciiTheme="majorBidi" w:hAnsiTheme="majorBidi" w:cstheme="majorBidi"/>
          <w:color w:val="000000" w:themeColor="text1"/>
          <w:sz w:val="24"/>
          <w:szCs w:val="24"/>
          <w:shd w:val="clear" w:color="auto" w:fill="FFFFFF"/>
        </w:rPr>
        <w:t xml:space="preserve"> </w:t>
      </w:r>
      <w:r w:rsidR="00E45D9C" w:rsidRPr="00615171">
        <w:rPr>
          <w:rFonts w:asciiTheme="majorBidi" w:hAnsiTheme="majorBidi" w:cstheme="majorBidi"/>
          <w:color w:val="000000" w:themeColor="text1"/>
          <w:sz w:val="24"/>
          <w:szCs w:val="24"/>
          <w:shd w:val="clear" w:color="auto" w:fill="FFFFFF"/>
        </w:rPr>
        <w:t>Il</w:t>
      </w:r>
      <w:r w:rsidR="00177A29">
        <w:rPr>
          <w:rFonts w:asciiTheme="majorBidi" w:hAnsiTheme="majorBidi" w:cstheme="majorBidi"/>
          <w:color w:val="000000" w:themeColor="text1"/>
          <w:sz w:val="24"/>
          <w:szCs w:val="24"/>
          <w:shd w:val="clear" w:color="auto" w:fill="FFFFFF"/>
        </w:rPr>
        <w:t>l</w:t>
      </w:r>
      <w:r w:rsidR="00E45D9C" w:rsidRPr="00615171">
        <w:rPr>
          <w:rFonts w:asciiTheme="majorBidi" w:hAnsiTheme="majorBidi" w:cstheme="majorBidi"/>
          <w:color w:val="000000" w:themeColor="text1"/>
          <w:sz w:val="24"/>
          <w:szCs w:val="24"/>
          <w:shd w:val="clear" w:color="auto" w:fill="FFFFFF"/>
        </w:rPr>
        <w:t>ness</w:t>
      </w:r>
      <w:r w:rsidR="00887910" w:rsidRPr="00615171">
        <w:rPr>
          <w:rFonts w:asciiTheme="majorBidi" w:hAnsiTheme="majorBidi" w:cstheme="majorBidi"/>
          <w:color w:val="000000" w:themeColor="text1"/>
          <w:sz w:val="24"/>
          <w:szCs w:val="24"/>
          <w:shd w:val="clear" w:color="auto" w:fill="FFFFFF"/>
        </w:rPr>
        <w:t xml:space="preserve"> may also be </w:t>
      </w:r>
      <w:r w:rsidR="001E3706" w:rsidRPr="00615171">
        <w:rPr>
          <w:rFonts w:asciiTheme="majorBidi" w:hAnsiTheme="majorBidi" w:cstheme="majorBidi"/>
          <w:color w:val="000000" w:themeColor="text1"/>
          <w:sz w:val="24"/>
          <w:szCs w:val="24"/>
          <w:shd w:val="clear" w:color="auto" w:fill="FFFFFF"/>
        </w:rPr>
        <w:t xml:space="preserve">more severe even in conditions where prevalence is lower – for example, </w:t>
      </w:r>
      <w:r w:rsidR="003F056B" w:rsidRPr="00615171">
        <w:rPr>
          <w:rFonts w:asciiTheme="majorBidi" w:hAnsiTheme="majorBidi" w:cstheme="majorBidi"/>
          <w:color w:val="000000" w:themeColor="text1"/>
          <w:sz w:val="24"/>
          <w:szCs w:val="24"/>
          <w:shd w:val="clear" w:color="auto" w:fill="FFFFFF"/>
        </w:rPr>
        <w:t xml:space="preserve">those who have experienced a </w:t>
      </w:r>
      <w:r w:rsidR="001E3706" w:rsidRPr="00615171">
        <w:rPr>
          <w:rFonts w:asciiTheme="majorBidi" w:hAnsiTheme="majorBidi" w:cstheme="majorBidi"/>
          <w:color w:val="000000" w:themeColor="text1"/>
          <w:sz w:val="24"/>
          <w:szCs w:val="24"/>
          <w:shd w:val="clear" w:color="auto" w:fill="FFFFFF"/>
        </w:rPr>
        <w:t>stroke</w:t>
      </w:r>
      <w:r w:rsidR="00CB3509" w:rsidRPr="00615171">
        <w:rPr>
          <w:rFonts w:asciiTheme="majorBidi" w:hAnsiTheme="majorBidi" w:cstheme="majorBidi"/>
          <w:color w:val="000000" w:themeColor="text1"/>
          <w:sz w:val="24"/>
          <w:szCs w:val="24"/>
          <w:shd w:val="clear" w:color="auto" w:fill="FFFFFF"/>
        </w:rPr>
        <w:t xml:space="preserve">.  </w:t>
      </w:r>
      <w:r w:rsidR="00887910" w:rsidRPr="00615171">
        <w:rPr>
          <w:rFonts w:asciiTheme="majorBidi" w:hAnsiTheme="majorBidi" w:cstheme="majorBidi"/>
          <w:color w:val="000000" w:themeColor="text1"/>
          <w:sz w:val="24"/>
          <w:szCs w:val="24"/>
          <w:shd w:val="clear" w:color="auto" w:fill="FFFFFF"/>
        </w:rPr>
        <w:t>This latter group is</w:t>
      </w:r>
      <w:r w:rsidR="00CB3509" w:rsidRPr="00615171">
        <w:rPr>
          <w:rFonts w:asciiTheme="majorBidi" w:hAnsiTheme="majorBidi" w:cstheme="majorBidi"/>
          <w:color w:val="000000" w:themeColor="text1"/>
          <w:sz w:val="24"/>
          <w:szCs w:val="24"/>
          <w:shd w:val="clear" w:color="auto" w:fill="FFFFFF"/>
        </w:rPr>
        <w:t xml:space="preserve"> also found to have less access to evidence based support services when from lower SES (McFadden </w:t>
      </w:r>
      <w:r w:rsidR="00CB3509" w:rsidRPr="00615171">
        <w:rPr>
          <w:rFonts w:asciiTheme="majorBidi" w:hAnsiTheme="majorBidi" w:cstheme="majorBidi"/>
          <w:i/>
          <w:iCs/>
          <w:color w:val="000000" w:themeColor="text1"/>
          <w:sz w:val="24"/>
          <w:szCs w:val="24"/>
          <w:shd w:val="clear" w:color="auto" w:fill="FFFFFF"/>
        </w:rPr>
        <w:t>et al</w:t>
      </w:r>
      <w:r w:rsidR="00212DEE">
        <w:rPr>
          <w:rFonts w:asciiTheme="majorBidi" w:hAnsiTheme="majorBidi" w:cstheme="majorBidi"/>
          <w:i/>
          <w:iCs/>
          <w:color w:val="000000" w:themeColor="text1"/>
          <w:sz w:val="24"/>
          <w:szCs w:val="24"/>
          <w:shd w:val="clear" w:color="auto" w:fill="FFFFFF"/>
        </w:rPr>
        <w:t>.</w:t>
      </w:r>
      <w:r w:rsidR="00CB3509" w:rsidRPr="00615171">
        <w:rPr>
          <w:rFonts w:asciiTheme="majorBidi" w:hAnsiTheme="majorBidi" w:cstheme="majorBidi"/>
          <w:color w:val="000000" w:themeColor="text1"/>
          <w:sz w:val="24"/>
          <w:szCs w:val="24"/>
          <w:shd w:val="clear" w:color="auto" w:fill="FFFFFF"/>
        </w:rPr>
        <w:t>, 2009)</w:t>
      </w:r>
      <w:r w:rsidR="001E3706" w:rsidRPr="00615171">
        <w:rPr>
          <w:rFonts w:asciiTheme="majorBidi" w:hAnsiTheme="majorBidi" w:cstheme="majorBidi"/>
          <w:color w:val="000000" w:themeColor="text1"/>
          <w:sz w:val="24"/>
          <w:szCs w:val="24"/>
          <w:shd w:val="clear" w:color="auto" w:fill="FFFFFF"/>
        </w:rPr>
        <w:t xml:space="preserve">. </w:t>
      </w:r>
      <w:r w:rsidR="003F056B" w:rsidRPr="00615171">
        <w:rPr>
          <w:rFonts w:asciiTheme="majorBidi" w:hAnsiTheme="majorBidi" w:cstheme="majorBidi"/>
          <w:color w:val="000000" w:themeColor="text1"/>
          <w:sz w:val="24"/>
          <w:szCs w:val="24"/>
          <w:shd w:val="clear" w:color="auto" w:fill="FFFFFF"/>
        </w:rPr>
        <w:t xml:space="preserve">Analysis of </w:t>
      </w:r>
      <w:r w:rsidR="00794C44" w:rsidRPr="00615171">
        <w:rPr>
          <w:rFonts w:asciiTheme="majorBidi" w:hAnsiTheme="majorBidi" w:cstheme="majorBidi"/>
          <w:color w:val="000000" w:themeColor="text1"/>
          <w:sz w:val="24"/>
          <w:szCs w:val="24"/>
          <w:shd w:val="clear" w:color="auto" w:fill="FFFFFF"/>
        </w:rPr>
        <w:t>the General</w:t>
      </w:r>
      <w:r w:rsidR="001E3706" w:rsidRPr="00615171">
        <w:rPr>
          <w:rFonts w:asciiTheme="majorBidi" w:hAnsiTheme="majorBidi" w:cstheme="majorBidi"/>
          <w:color w:val="000000" w:themeColor="text1"/>
          <w:sz w:val="24"/>
          <w:szCs w:val="24"/>
          <w:shd w:val="clear" w:color="auto" w:fill="FFFFFF"/>
        </w:rPr>
        <w:t xml:space="preserve"> Household Survey data </w:t>
      </w:r>
      <w:r w:rsidR="003F056B" w:rsidRPr="00615171">
        <w:rPr>
          <w:rFonts w:asciiTheme="majorBidi" w:hAnsiTheme="majorBidi" w:cstheme="majorBidi"/>
          <w:color w:val="000000" w:themeColor="text1"/>
          <w:sz w:val="24"/>
          <w:szCs w:val="24"/>
          <w:shd w:val="clear" w:color="auto" w:fill="FFFFFF"/>
        </w:rPr>
        <w:t xml:space="preserve">has </w:t>
      </w:r>
      <w:r w:rsidR="00D44B04" w:rsidRPr="00615171">
        <w:rPr>
          <w:rFonts w:asciiTheme="majorBidi" w:hAnsiTheme="majorBidi" w:cstheme="majorBidi"/>
          <w:color w:val="000000" w:themeColor="text1"/>
          <w:sz w:val="24"/>
          <w:szCs w:val="24"/>
          <w:shd w:val="clear" w:color="auto" w:fill="FFFFFF"/>
        </w:rPr>
        <w:t>show</w:t>
      </w:r>
      <w:r w:rsidR="003F056B" w:rsidRPr="00615171">
        <w:rPr>
          <w:rFonts w:asciiTheme="majorBidi" w:hAnsiTheme="majorBidi" w:cstheme="majorBidi"/>
          <w:color w:val="000000" w:themeColor="text1"/>
          <w:sz w:val="24"/>
          <w:szCs w:val="24"/>
          <w:shd w:val="clear" w:color="auto" w:fill="FFFFFF"/>
        </w:rPr>
        <w:t>n</w:t>
      </w:r>
      <w:r w:rsidR="00D44B04" w:rsidRPr="00615171">
        <w:rPr>
          <w:rFonts w:asciiTheme="majorBidi" w:hAnsiTheme="majorBidi" w:cstheme="majorBidi"/>
          <w:color w:val="000000" w:themeColor="text1"/>
          <w:sz w:val="24"/>
          <w:szCs w:val="24"/>
          <w:shd w:val="clear" w:color="auto" w:fill="FFFFFF"/>
        </w:rPr>
        <w:t xml:space="preserve"> that</w:t>
      </w:r>
      <w:r w:rsidR="001E3706" w:rsidRPr="00615171">
        <w:rPr>
          <w:rFonts w:asciiTheme="majorBidi" w:hAnsiTheme="majorBidi" w:cstheme="majorBidi"/>
          <w:color w:val="000000" w:themeColor="text1"/>
          <w:sz w:val="24"/>
          <w:szCs w:val="24"/>
          <w:shd w:val="clear" w:color="auto" w:fill="FFFFFF"/>
        </w:rPr>
        <w:t xml:space="preserve"> those from un</w:t>
      </w:r>
      <w:r w:rsidR="0006769F" w:rsidRPr="00615171">
        <w:rPr>
          <w:rFonts w:asciiTheme="majorBidi" w:hAnsiTheme="majorBidi" w:cstheme="majorBidi"/>
          <w:color w:val="000000" w:themeColor="text1"/>
          <w:sz w:val="24"/>
          <w:szCs w:val="24"/>
          <w:shd w:val="clear" w:color="auto" w:fill="FFFFFF"/>
        </w:rPr>
        <w:t xml:space="preserve">skilled </w:t>
      </w:r>
      <w:r w:rsidR="0006769F" w:rsidRPr="00615171">
        <w:rPr>
          <w:rFonts w:asciiTheme="majorBidi" w:hAnsiTheme="majorBidi" w:cstheme="majorBidi"/>
          <w:color w:val="000000" w:themeColor="text1"/>
          <w:sz w:val="24"/>
          <w:szCs w:val="24"/>
          <w:shd w:val="clear" w:color="auto" w:fill="FFFFFF"/>
        </w:rPr>
        <w:lastRenderedPageBreak/>
        <w:t>occupations (52 per</w:t>
      </w:r>
      <w:r w:rsidR="001E3706" w:rsidRPr="00615171">
        <w:rPr>
          <w:rFonts w:asciiTheme="majorBidi" w:hAnsiTheme="majorBidi" w:cstheme="majorBidi"/>
          <w:color w:val="000000" w:themeColor="text1"/>
          <w:sz w:val="24"/>
          <w:szCs w:val="24"/>
          <w:shd w:val="clear" w:color="auto" w:fill="FFFFFF"/>
        </w:rPr>
        <w:t>cent) suffer from long-term conditions more than groups from p</w:t>
      </w:r>
      <w:r w:rsidR="0006769F" w:rsidRPr="00615171">
        <w:rPr>
          <w:rFonts w:asciiTheme="majorBidi" w:hAnsiTheme="majorBidi" w:cstheme="majorBidi"/>
          <w:color w:val="000000" w:themeColor="text1"/>
          <w:sz w:val="24"/>
          <w:szCs w:val="24"/>
          <w:shd w:val="clear" w:color="auto" w:fill="FFFFFF"/>
        </w:rPr>
        <w:t>rofessional occupations (33 per</w:t>
      </w:r>
      <w:r w:rsidR="001E3706" w:rsidRPr="00615171">
        <w:rPr>
          <w:rFonts w:asciiTheme="majorBidi" w:hAnsiTheme="majorBidi" w:cstheme="majorBidi"/>
          <w:color w:val="000000" w:themeColor="text1"/>
          <w:sz w:val="24"/>
          <w:szCs w:val="24"/>
          <w:shd w:val="clear" w:color="auto" w:fill="FFFFFF"/>
        </w:rPr>
        <w:t>cent)</w:t>
      </w:r>
      <w:r w:rsidR="00794C44" w:rsidRPr="00615171">
        <w:rPr>
          <w:rFonts w:asciiTheme="majorBidi" w:hAnsiTheme="majorBidi" w:cstheme="majorBidi"/>
          <w:color w:val="000000" w:themeColor="text1"/>
          <w:sz w:val="24"/>
          <w:szCs w:val="24"/>
          <w:shd w:val="clear" w:color="auto" w:fill="FFFFFF"/>
        </w:rPr>
        <w:t xml:space="preserve">. </w:t>
      </w:r>
      <w:r w:rsidR="00987AAA" w:rsidRPr="00615171">
        <w:rPr>
          <w:rFonts w:asciiTheme="majorBidi" w:hAnsiTheme="majorBidi" w:cstheme="majorBidi"/>
          <w:color w:val="000000" w:themeColor="text1"/>
          <w:sz w:val="24"/>
          <w:szCs w:val="24"/>
          <w:shd w:val="clear" w:color="auto" w:fill="FFFFFF"/>
        </w:rPr>
        <w:t xml:space="preserve">Horizontal equity in health care use is an area that remains relatively unexamined in the literature on older people.  </w:t>
      </w:r>
      <w:proofErr w:type="spellStart"/>
      <w:r w:rsidR="00987AAA" w:rsidRPr="00615171">
        <w:rPr>
          <w:rFonts w:asciiTheme="majorBidi" w:hAnsiTheme="majorBidi" w:cstheme="majorBidi"/>
          <w:color w:val="000000" w:themeColor="text1"/>
          <w:sz w:val="24"/>
          <w:szCs w:val="24"/>
          <w:shd w:val="clear" w:color="auto" w:fill="FFFFFF"/>
        </w:rPr>
        <w:t>Allin</w:t>
      </w:r>
      <w:proofErr w:type="spellEnd"/>
      <w:r w:rsidR="00987AAA" w:rsidRPr="00615171">
        <w:rPr>
          <w:rFonts w:asciiTheme="majorBidi" w:hAnsiTheme="majorBidi" w:cstheme="majorBidi"/>
          <w:color w:val="000000" w:themeColor="text1"/>
          <w:sz w:val="24"/>
          <w:szCs w:val="24"/>
          <w:shd w:val="clear" w:color="auto" w:fill="FFFFFF"/>
        </w:rPr>
        <w:t xml:space="preserve"> </w:t>
      </w:r>
      <w:r w:rsidR="00987AAA" w:rsidRPr="00615171">
        <w:rPr>
          <w:rFonts w:asciiTheme="majorBidi" w:hAnsiTheme="majorBidi" w:cstheme="majorBidi"/>
          <w:i/>
          <w:iCs/>
          <w:color w:val="000000" w:themeColor="text1"/>
          <w:sz w:val="24"/>
          <w:szCs w:val="24"/>
          <w:shd w:val="clear" w:color="auto" w:fill="FFFFFF"/>
        </w:rPr>
        <w:t>et al</w:t>
      </w:r>
      <w:r w:rsidR="00212DEE">
        <w:rPr>
          <w:rFonts w:asciiTheme="majorBidi" w:hAnsiTheme="majorBidi" w:cstheme="majorBidi"/>
          <w:i/>
          <w:iCs/>
          <w:color w:val="000000" w:themeColor="text1"/>
          <w:sz w:val="24"/>
          <w:szCs w:val="24"/>
          <w:shd w:val="clear" w:color="auto" w:fill="FFFFFF"/>
        </w:rPr>
        <w:t>.</w:t>
      </w:r>
      <w:r w:rsidR="00987AAA" w:rsidRPr="00615171">
        <w:rPr>
          <w:rFonts w:asciiTheme="majorBidi" w:hAnsiTheme="majorBidi" w:cstheme="majorBidi"/>
          <w:color w:val="000000" w:themeColor="text1"/>
          <w:sz w:val="24"/>
          <w:szCs w:val="24"/>
          <w:shd w:val="clear" w:color="auto" w:fill="FFFFFF"/>
        </w:rPr>
        <w:t xml:space="preserve"> (2006) for example found that individuals on lower incomes are significantly less likely to </w:t>
      </w:r>
      <w:r w:rsidR="00706194" w:rsidRPr="00615171">
        <w:rPr>
          <w:rFonts w:asciiTheme="majorBidi" w:hAnsiTheme="majorBidi" w:cstheme="majorBidi"/>
          <w:color w:val="000000" w:themeColor="text1"/>
          <w:sz w:val="24"/>
          <w:szCs w:val="24"/>
          <w:shd w:val="clear" w:color="auto" w:fill="FFFFFF"/>
        </w:rPr>
        <w:t>consult</w:t>
      </w:r>
      <w:r w:rsidR="00987AAA" w:rsidRPr="00615171">
        <w:rPr>
          <w:rFonts w:asciiTheme="majorBidi" w:hAnsiTheme="majorBidi" w:cstheme="majorBidi"/>
          <w:color w:val="000000" w:themeColor="text1"/>
          <w:sz w:val="24"/>
          <w:szCs w:val="24"/>
          <w:shd w:val="clear" w:color="auto" w:fill="FFFFFF"/>
        </w:rPr>
        <w:t xml:space="preserve"> a medical professional despite having greater need and </w:t>
      </w:r>
      <w:r w:rsidR="00706194" w:rsidRPr="00615171">
        <w:rPr>
          <w:rFonts w:asciiTheme="majorBidi" w:hAnsiTheme="majorBidi" w:cstheme="majorBidi"/>
          <w:color w:val="000000" w:themeColor="text1"/>
          <w:sz w:val="24"/>
          <w:szCs w:val="24"/>
          <w:shd w:val="clear" w:color="auto" w:fill="FFFFFF"/>
        </w:rPr>
        <w:t xml:space="preserve">that </w:t>
      </w:r>
      <w:r w:rsidR="00987AAA" w:rsidRPr="00615171">
        <w:rPr>
          <w:rFonts w:asciiTheme="majorBidi" w:hAnsiTheme="majorBidi" w:cstheme="majorBidi"/>
          <w:color w:val="000000" w:themeColor="text1"/>
          <w:sz w:val="24"/>
          <w:szCs w:val="24"/>
          <w:shd w:val="clear" w:color="auto" w:fill="FFFFFF"/>
        </w:rPr>
        <w:t xml:space="preserve">preventative and specialist care particularly tends to favour the better off. </w:t>
      </w:r>
      <w:r w:rsidR="00887910" w:rsidRPr="00615171">
        <w:rPr>
          <w:rFonts w:asciiTheme="majorBidi" w:hAnsiTheme="majorBidi" w:cstheme="majorBidi"/>
          <w:color w:val="000000" w:themeColor="text1"/>
          <w:sz w:val="24"/>
          <w:szCs w:val="24"/>
          <w:shd w:val="clear" w:color="auto" w:fill="FFFFFF"/>
        </w:rPr>
        <w:t xml:space="preserve"> The World Alzheimer Report (2014) suggested that a decline in age specific prevalence is theoretically possible if driven by changes linked to increased prosperity and education which enables people to enter old age with better developed health brains and by targeting problems associated with the behaviours of those older people from lower SES.</w:t>
      </w:r>
    </w:p>
    <w:p w14:paraId="2F9C6E82" w14:textId="08E05960" w:rsidR="001E3706" w:rsidRPr="00615171" w:rsidRDefault="00CB3509" w:rsidP="007150E3">
      <w:pPr>
        <w:spacing w:after="0" w:line="240" w:lineRule="auto"/>
        <w:ind w:firstLine="720"/>
        <w:jc w:val="both"/>
        <w:rPr>
          <w:rFonts w:asciiTheme="majorBidi" w:hAnsiTheme="majorBidi" w:cstheme="majorBidi"/>
          <w:color w:val="000000" w:themeColor="text1"/>
          <w:sz w:val="24"/>
          <w:szCs w:val="24"/>
          <w:shd w:val="clear" w:color="auto" w:fill="FFFFFF"/>
        </w:rPr>
      </w:pPr>
      <w:r w:rsidRPr="00615171">
        <w:rPr>
          <w:rFonts w:asciiTheme="majorBidi" w:hAnsiTheme="majorBidi" w:cstheme="majorBidi"/>
          <w:color w:val="000000" w:themeColor="text1"/>
          <w:sz w:val="24"/>
          <w:szCs w:val="24"/>
          <w:shd w:val="clear" w:color="auto" w:fill="FFFFFF"/>
        </w:rPr>
        <w:t xml:space="preserve">Experiences of discrimination and prejudice can undermine mental health and wellbeing, for particular groups such as being an older woman, </w:t>
      </w:r>
      <w:r w:rsidR="00E45D9C" w:rsidRPr="00615171">
        <w:rPr>
          <w:rFonts w:asciiTheme="majorBidi" w:hAnsiTheme="majorBidi" w:cstheme="majorBidi"/>
          <w:color w:val="000000" w:themeColor="text1"/>
          <w:sz w:val="24"/>
          <w:szCs w:val="24"/>
          <w:shd w:val="clear" w:color="auto" w:fill="FFFFFF"/>
        </w:rPr>
        <w:t xml:space="preserve">from </w:t>
      </w:r>
      <w:r w:rsidRPr="00615171">
        <w:rPr>
          <w:rFonts w:asciiTheme="majorBidi" w:hAnsiTheme="majorBidi" w:cstheme="majorBidi"/>
          <w:color w:val="000000" w:themeColor="text1"/>
          <w:sz w:val="24"/>
          <w:szCs w:val="24"/>
          <w:shd w:val="clear" w:color="auto" w:fill="FFFFFF"/>
        </w:rPr>
        <w:t>black and minority</w:t>
      </w:r>
      <w:r w:rsidR="00E45D9C" w:rsidRPr="00615171">
        <w:rPr>
          <w:rFonts w:asciiTheme="majorBidi" w:hAnsiTheme="majorBidi" w:cstheme="majorBidi"/>
          <w:color w:val="000000" w:themeColor="text1"/>
          <w:sz w:val="24"/>
          <w:szCs w:val="24"/>
          <w:shd w:val="clear" w:color="auto" w:fill="FFFFFF"/>
        </w:rPr>
        <w:t xml:space="preserve"> backgrounds</w:t>
      </w:r>
      <w:r w:rsidRPr="00615171">
        <w:rPr>
          <w:rFonts w:asciiTheme="majorBidi" w:hAnsiTheme="majorBidi" w:cstheme="majorBidi"/>
          <w:color w:val="000000" w:themeColor="text1"/>
          <w:sz w:val="24"/>
          <w:szCs w:val="24"/>
          <w:shd w:val="clear" w:color="auto" w:fill="FFFFFF"/>
        </w:rPr>
        <w:t xml:space="preserve">, or </w:t>
      </w:r>
      <w:r w:rsidR="00E45D9C" w:rsidRPr="00615171">
        <w:rPr>
          <w:rFonts w:asciiTheme="majorBidi" w:hAnsiTheme="majorBidi" w:cstheme="majorBidi"/>
          <w:color w:val="000000" w:themeColor="text1"/>
          <w:sz w:val="24"/>
          <w:szCs w:val="24"/>
          <w:shd w:val="clear" w:color="auto" w:fill="FFFFFF"/>
        </w:rPr>
        <w:t xml:space="preserve">from </w:t>
      </w:r>
      <w:r w:rsidRPr="00615171">
        <w:rPr>
          <w:rFonts w:asciiTheme="majorBidi" w:hAnsiTheme="majorBidi" w:cstheme="majorBidi"/>
          <w:color w:val="000000" w:themeColor="text1"/>
          <w:sz w:val="24"/>
          <w:szCs w:val="24"/>
          <w:shd w:val="clear" w:color="auto" w:fill="FFFFFF"/>
        </w:rPr>
        <w:t xml:space="preserve">Lesbian, Gay, Bisexual or Transgender </w:t>
      </w:r>
      <w:r w:rsidR="00E45D9C" w:rsidRPr="00615171">
        <w:rPr>
          <w:rFonts w:asciiTheme="majorBidi" w:hAnsiTheme="majorBidi" w:cstheme="majorBidi"/>
          <w:color w:val="000000" w:themeColor="text1"/>
          <w:sz w:val="24"/>
          <w:szCs w:val="24"/>
          <w:shd w:val="clear" w:color="auto" w:fill="FFFFFF"/>
        </w:rPr>
        <w:t>communities</w:t>
      </w:r>
      <w:r w:rsidR="00CC64BD" w:rsidRPr="00615171">
        <w:rPr>
          <w:rFonts w:asciiTheme="majorBidi" w:hAnsiTheme="majorBidi" w:cstheme="majorBidi"/>
          <w:color w:val="000000" w:themeColor="text1"/>
          <w:sz w:val="24"/>
          <w:szCs w:val="24"/>
          <w:shd w:val="clear" w:color="auto" w:fill="FFFFFF"/>
        </w:rPr>
        <w:t xml:space="preserve"> </w:t>
      </w:r>
      <w:r w:rsidRPr="00615171">
        <w:rPr>
          <w:rFonts w:asciiTheme="majorBidi" w:hAnsiTheme="majorBidi" w:cstheme="majorBidi"/>
          <w:color w:val="000000" w:themeColor="text1"/>
          <w:sz w:val="24"/>
          <w:szCs w:val="24"/>
          <w:shd w:val="clear" w:color="auto" w:fill="FFFFFF"/>
        </w:rPr>
        <w:t xml:space="preserve">indirectly through the experience of poverty, deprivation, exclusion and </w:t>
      </w:r>
      <w:r w:rsidR="00273048" w:rsidRPr="00615171">
        <w:rPr>
          <w:rFonts w:asciiTheme="majorBidi" w:hAnsiTheme="majorBidi" w:cstheme="majorBidi"/>
          <w:color w:val="000000" w:themeColor="text1"/>
          <w:sz w:val="24"/>
          <w:szCs w:val="24"/>
          <w:shd w:val="clear" w:color="auto" w:fill="FFFFFF"/>
        </w:rPr>
        <w:t>inequality</w:t>
      </w:r>
      <w:r w:rsidR="006C33D0" w:rsidRPr="00615171">
        <w:rPr>
          <w:rFonts w:asciiTheme="majorBidi" w:hAnsiTheme="majorBidi" w:cstheme="majorBidi"/>
          <w:color w:val="000000" w:themeColor="text1"/>
          <w:sz w:val="24"/>
          <w:szCs w:val="24"/>
          <w:shd w:val="clear" w:color="auto" w:fill="FFFFFF"/>
        </w:rPr>
        <w:t xml:space="preserve">. Linking ethnicity and poverty </w:t>
      </w:r>
      <w:r w:rsidR="007E2CCB" w:rsidRPr="00615171">
        <w:rPr>
          <w:rFonts w:asciiTheme="majorBidi" w:hAnsiTheme="majorBidi" w:cstheme="majorBidi"/>
          <w:color w:val="000000" w:themeColor="text1"/>
          <w:sz w:val="24"/>
          <w:szCs w:val="24"/>
          <w:shd w:val="clear" w:color="auto" w:fill="FFFFFF"/>
        </w:rPr>
        <w:t xml:space="preserve">in studies using SES has shown that factors such as having a mixed support network; being in the radar of local health and social care service and </w:t>
      </w:r>
      <w:r w:rsidR="00E45D9C" w:rsidRPr="00615171">
        <w:rPr>
          <w:rFonts w:asciiTheme="majorBidi" w:hAnsiTheme="majorBidi" w:cstheme="majorBidi"/>
          <w:color w:val="000000" w:themeColor="text1"/>
          <w:sz w:val="24"/>
          <w:szCs w:val="24"/>
          <w:shd w:val="clear" w:color="auto" w:fill="FFFFFF"/>
        </w:rPr>
        <w:t xml:space="preserve">health and care providers </w:t>
      </w:r>
      <w:r w:rsidR="007E2CCB" w:rsidRPr="00615171">
        <w:rPr>
          <w:rFonts w:asciiTheme="majorBidi" w:hAnsiTheme="majorBidi" w:cstheme="majorBidi"/>
          <w:color w:val="000000" w:themeColor="text1"/>
          <w:sz w:val="24"/>
          <w:szCs w:val="24"/>
          <w:shd w:val="clear" w:color="auto" w:fill="FFFFFF"/>
        </w:rPr>
        <w:t xml:space="preserve">taking account of the impact of culture and migration </w:t>
      </w:r>
      <w:r w:rsidR="00895348" w:rsidRPr="00615171">
        <w:rPr>
          <w:rFonts w:asciiTheme="majorBidi" w:hAnsiTheme="majorBidi" w:cstheme="majorBidi"/>
          <w:color w:val="000000" w:themeColor="text1"/>
          <w:sz w:val="24"/>
          <w:szCs w:val="24"/>
          <w:shd w:val="clear" w:color="auto" w:fill="FFFFFF"/>
        </w:rPr>
        <w:t xml:space="preserve">and diverse life trajectories </w:t>
      </w:r>
      <w:r w:rsidR="007E2CCB" w:rsidRPr="00615171">
        <w:rPr>
          <w:rFonts w:asciiTheme="majorBidi" w:hAnsiTheme="majorBidi" w:cstheme="majorBidi"/>
          <w:color w:val="000000" w:themeColor="text1"/>
          <w:sz w:val="24"/>
          <w:szCs w:val="24"/>
          <w:shd w:val="clear" w:color="auto" w:fill="FFFFFF"/>
        </w:rPr>
        <w:t>on what constitutes health and well-being</w:t>
      </w:r>
      <w:r w:rsidR="00895348" w:rsidRPr="00615171">
        <w:rPr>
          <w:rFonts w:asciiTheme="majorBidi" w:hAnsiTheme="majorBidi" w:cstheme="majorBidi"/>
          <w:color w:val="000000" w:themeColor="text1"/>
          <w:sz w:val="24"/>
          <w:szCs w:val="24"/>
          <w:shd w:val="clear" w:color="auto" w:fill="FFFFFF"/>
        </w:rPr>
        <w:t xml:space="preserve"> for ageing minority populations</w:t>
      </w:r>
      <w:r w:rsidR="00E45D9C" w:rsidRPr="00615171">
        <w:rPr>
          <w:rFonts w:asciiTheme="majorBidi" w:hAnsiTheme="majorBidi" w:cstheme="majorBidi"/>
          <w:color w:val="000000" w:themeColor="text1"/>
          <w:sz w:val="24"/>
          <w:szCs w:val="24"/>
          <w:shd w:val="clear" w:color="auto" w:fill="FFFFFF"/>
        </w:rPr>
        <w:t xml:space="preserve"> is significant</w:t>
      </w:r>
      <w:r w:rsidR="00895348" w:rsidRPr="00615171">
        <w:rPr>
          <w:rFonts w:asciiTheme="majorBidi" w:hAnsiTheme="majorBidi" w:cstheme="majorBidi"/>
          <w:color w:val="000000" w:themeColor="text1"/>
          <w:sz w:val="24"/>
          <w:szCs w:val="24"/>
          <w:shd w:val="clear" w:color="auto" w:fill="FFFFFF"/>
        </w:rPr>
        <w:t xml:space="preserve"> (Maynard </w:t>
      </w:r>
      <w:r w:rsidR="00895348" w:rsidRPr="00615171">
        <w:rPr>
          <w:rFonts w:asciiTheme="majorBidi" w:hAnsiTheme="majorBidi" w:cstheme="majorBidi"/>
          <w:i/>
          <w:iCs/>
          <w:color w:val="000000" w:themeColor="text1"/>
          <w:sz w:val="24"/>
          <w:szCs w:val="24"/>
          <w:shd w:val="clear" w:color="auto" w:fill="FFFFFF"/>
        </w:rPr>
        <w:t>et al</w:t>
      </w:r>
      <w:r w:rsidR="00177A29">
        <w:rPr>
          <w:rFonts w:asciiTheme="majorBidi" w:hAnsiTheme="majorBidi" w:cstheme="majorBidi"/>
          <w:i/>
          <w:iCs/>
          <w:color w:val="000000" w:themeColor="text1"/>
          <w:sz w:val="24"/>
          <w:szCs w:val="24"/>
          <w:shd w:val="clear" w:color="auto" w:fill="FFFFFF"/>
        </w:rPr>
        <w:t>.</w:t>
      </w:r>
      <w:r w:rsidR="00895348" w:rsidRPr="00615171">
        <w:rPr>
          <w:rFonts w:asciiTheme="majorBidi" w:hAnsiTheme="majorBidi" w:cstheme="majorBidi"/>
          <w:color w:val="000000" w:themeColor="text1"/>
          <w:sz w:val="24"/>
          <w:szCs w:val="24"/>
          <w:shd w:val="clear" w:color="auto" w:fill="FFFFFF"/>
        </w:rPr>
        <w:t>, 2008; Hafford-Letchfield, 2013)</w:t>
      </w:r>
    </w:p>
    <w:p w14:paraId="31F08E4F" w14:textId="17DB2D00" w:rsidR="001E3706" w:rsidRPr="00615171" w:rsidRDefault="00162EAB" w:rsidP="00030F66">
      <w:pPr>
        <w:tabs>
          <w:tab w:val="left" w:pos="1789"/>
        </w:tabs>
        <w:spacing w:after="0" w:line="240" w:lineRule="auto"/>
        <w:jc w:val="both"/>
        <w:rPr>
          <w:rFonts w:asciiTheme="majorBidi" w:hAnsiTheme="majorBidi" w:cstheme="majorBidi"/>
          <w:color w:val="000000" w:themeColor="text1"/>
          <w:sz w:val="24"/>
          <w:szCs w:val="24"/>
          <w:shd w:val="clear" w:color="auto" w:fill="FFFFFF"/>
        </w:rPr>
      </w:pPr>
      <w:r w:rsidRPr="00615171">
        <w:rPr>
          <w:rFonts w:asciiTheme="majorBidi" w:hAnsiTheme="majorBidi" w:cstheme="majorBidi"/>
          <w:color w:val="000000" w:themeColor="text1"/>
          <w:sz w:val="24"/>
          <w:szCs w:val="24"/>
          <w:shd w:val="clear" w:color="auto" w:fill="FFFFFF"/>
        </w:rPr>
        <w:tab/>
      </w:r>
    </w:p>
    <w:p w14:paraId="079849C6" w14:textId="793E56CE" w:rsidR="00E1288E" w:rsidRPr="00615171" w:rsidRDefault="00CC74D5" w:rsidP="00247FDE">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val="en-GB" w:eastAsia="zh-CN"/>
        </w:rPr>
      </w:pPr>
      <w:r w:rsidRPr="00615171">
        <w:rPr>
          <w:rFonts w:asciiTheme="majorBidi" w:hAnsiTheme="majorBidi" w:cstheme="majorBidi"/>
          <w:color w:val="000000" w:themeColor="text1"/>
          <w:sz w:val="24"/>
          <w:szCs w:val="24"/>
          <w:shd w:val="clear" w:color="auto" w:fill="FFFFFF"/>
        </w:rPr>
        <w:t>Co-morbidity or m</w:t>
      </w:r>
      <w:r w:rsidR="00623739" w:rsidRPr="00615171">
        <w:rPr>
          <w:rFonts w:asciiTheme="majorBidi" w:hAnsiTheme="majorBidi" w:cstheme="majorBidi"/>
          <w:color w:val="000000" w:themeColor="text1"/>
          <w:sz w:val="24"/>
          <w:szCs w:val="24"/>
          <w:shd w:val="clear" w:color="auto" w:fill="FFFFFF"/>
        </w:rPr>
        <w:t xml:space="preserve">ulti-morbidity </w:t>
      </w:r>
      <w:r w:rsidRPr="00615171">
        <w:rPr>
          <w:rFonts w:asciiTheme="majorBidi" w:hAnsiTheme="majorBidi" w:cstheme="majorBidi"/>
          <w:color w:val="000000" w:themeColor="text1"/>
          <w:sz w:val="24"/>
          <w:szCs w:val="24"/>
          <w:shd w:val="clear" w:color="auto" w:fill="FFFFFF"/>
        </w:rPr>
        <w:t>is a key concern in old age</w:t>
      </w:r>
      <w:r w:rsidR="00885EB6" w:rsidRPr="00615171">
        <w:rPr>
          <w:rFonts w:asciiTheme="majorBidi" w:hAnsiTheme="majorBidi" w:cstheme="majorBidi"/>
          <w:color w:val="000000" w:themeColor="text1"/>
          <w:sz w:val="24"/>
          <w:szCs w:val="24"/>
          <w:shd w:val="clear" w:color="auto" w:fill="FFFFFF"/>
        </w:rPr>
        <w:t>. It is a major health concern and is related to SES</w:t>
      </w:r>
      <w:r w:rsidR="00C41D8E" w:rsidRPr="00615171">
        <w:rPr>
          <w:rFonts w:asciiTheme="majorBidi" w:hAnsiTheme="majorBidi" w:cstheme="majorBidi"/>
          <w:color w:val="000000" w:themeColor="text1"/>
          <w:sz w:val="24"/>
          <w:szCs w:val="24"/>
          <w:shd w:val="clear" w:color="auto" w:fill="FFFFFF"/>
        </w:rPr>
        <w:t xml:space="preserve"> too</w:t>
      </w:r>
      <w:r w:rsidRPr="00615171">
        <w:rPr>
          <w:rFonts w:asciiTheme="majorBidi" w:hAnsiTheme="majorBidi" w:cstheme="majorBidi"/>
          <w:color w:val="000000" w:themeColor="text1"/>
          <w:sz w:val="24"/>
          <w:szCs w:val="24"/>
          <w:shd w:val="clear" w:color="auto" w:fill="FFFFFF"/>
        </w:rPr>
        <w:t xml:space="preserve">. Statistics shows that </w:t>
      </w:r>
      <w:r w:rsidR="00D37F8B" w:rsidRPr="00615171">
        <w:rPr>
          <w:rFonts w:asciiTheme="majorBidi" w:hAnsiTheme="majorBidi" w:cstheme="majorBidi"/>
          <w:color w:val="000000" w:themeColor="text1"/>
          <w:sz w:val="24"/>
          <w:szCs w:val="24"/>
          <w:shd w:val="clear" w:color="auto" w:fill="FFFFFF"/>
        </w:rPr>
        <w:t xml:space="preserve">it </w:t>
      </w:r>
      <w:r w:rsidR="00623739" w:rsidRPr="00615171">
        <w:rPr>
          <w:rFonts w:asciiTheme="majorBidi" w:hAnsiTheme="majorBidi" w:cstheme="majorBidi"/>
          <w:color w:val="000000" w:themeColor="text1"/>
          <w:sz w:val="24"/>
          <w:szCs w:val="24"/>
          <w:shd w:val="clear" w:color="auto" w:fill="FFFFFF"/>
        </w:rPr>
        <w:t xml:space="preserve">has </w:t>
      </w:r>
      <w:r w:rsidR="00D37F8B" w:rsidRPr="00615171">
        <w:rPr>
          <w:rFonts w:asciiTheme="majorBidi" w:hAnsiTheme="majorBidi" w:cstheme="majorBidi"/>
          <w:color w:val="000000" w:themeColor="text1"/>
          <w:sz w:val="24"/>
          <w:szCs w:val="24"/>
          <w:shd w:val="clear" w:color="auto" w:fill="FFFFFF"/>
        </w:rPr>
        <w:t xml:space="preserve">been </w:t>
      </w:r>
      <w:r w:rsidR="00623739" w:rsidRPr="00615171">
        <w:rPr>
          <w:rFonts w:asciiTheme="majorBidi" w:hAnsiTheme="majorBidi" w:cstheme="majorBidi"/>
          <w:color w:val="000000" w:themeColor="text1"/>
          <w:sz w:val="24"/>
          <w:szCs w:val="24"/>
          <w:shd w:val="clear" w:color="auto" w:fill="FFFFFF"/>
        </w:rPr>
        <w:t xml:space="preserve">increased significantly over the years. </w:t>
      </w:r>
      <w:r w:rsidR="001E3706" w:rsidRPr="00615171">
        <w:rPr>
          <w:rFonts w:asciiTheme="majorBidi" w:hAnsiTheme="majorBidi" w:cstheme="majorBidi"/>
          <w:color w:val="000000" w:themeColor="text1"/>
          <w:sz w:val="24"/>
          <w:szCs w:val="24"/>
          <w:shd w:val="clear" w:color="auto" w:fill="FFFFFF"/>
        </w:rPr>
        <w:t>The number of people with three or more long-term conditions is predicted to rise from 1.9 million in 2008 to 2.9 million in 2018. The ageing population and increased prevalence of long-term conditions</w:t>
      </w:r>
      <w:r w:rsidR="008A35A2" w:rsidRPr="00615171">
        <w:rPr>
          <w:rFonts w:asciiTheme="majorBidi" w:hAnsiTheme="majorBidi" w:cstheme="majorBidi"/>
          <w:color w:val="000000" w:themeColor="text1"/>
          <w:sz w:val="24"/>
          <w:szCs w:val="24"/>
          <w:shd w:val="clear" w:color="auto" w:fill="FFFFFF"/>
        </w:rPr>
        <w:t xml:space="preserve"> or illness</w:t>
      </w:r>
      <w:r w:rsidR="001E3706" w:rsidRPr="00615171">
        <w:rPr>
          <w:rFonts w:asciiTheme="majorBidi" w:hAnsiTheme="majorBidi" w:cstheme="majorBidi"/>
          <w:color w:val="000000" w:themeColor="text1"/>
          <w:sz w:val="24"/>
          <w:szCs w:val="24"/>
          <w:shd w:val="clear" w:color="auto" w:fill="FFFFFF"/>
        </w:rPr>
        <w:t xml:space="preserve"> have a significant impact on health and social care and may require £5 billion additional expenditure by 2018 (</w:t>
      </w:r>
      <w:r w:rsidR="00DD0303" w:rsidRPr="00615171">
        <w:rPr>
          <w:rFonts w:asciiTheme="majorBidi" w:hAnsiTheme="majorBidi" w:cstheme="majorBidi"/>
          <w:color w:val="000000" w:themeColor="text1"/>
          <w:sz w:val="24"/>
          <w:szCs w:val="24"/>
        </w:rPr>
        <w:t xml:space="preserve">Barnett </w:t>
      </w:r>
      <w:r w:rsidR="00D37F8B" w:rsidRPr="00615171">
        <w:rPr>
          <w:rFonts w:asciiTheme="majorBidi" w:hAnsiTheme="majorBidi" w:cstheme="majorBidi"/>
          <w:i/>
          <w:color w:val="000000" w:themeColor="text1"/>
          <w:sz w:val="24"/>
          <w:szCs w:val="24"/>
        </w:rPr>
        <w:t>et al</w:t>
      </w:r>
      <w:r w:rsidR="002E5F20" w:rsidRPr="00615171">
        <w:rPr>
          <w:rFonts w:asciiTheme="majorBidi" w:hAnsiTheme="majorBidi" w:cstheme="majorBidi"/>
          <w:i/>
          <w:color w:val="000000" w:themeColor="text1"/>
          <w:sz w:val="24"/>
          <w:szCs w:val="24"/>
        </w:rPr>
        <w:t>.</w:t>
      </w:r>
      <w:r w:rsidR="00DD0303" w:rsidRPr="00615171">
        <w:rPr>
          <w:rFonts w:asciiTheme="majorBidi" w:hAnsiTheme="majorBidi" w:cstheme="majorBidi"/>
          <w:color w:val="000000" w:themeColor="text1"/>
          <w:sz w:val="24"/>
          <w:szCs w:val="24"/>
        </w:rPr>
        <w:t>, 2012</w:t>
      </w:r>
      <w:r w:rsidR="001E3706" w:rsidRPr="00615171">
        <w:rPr>
          <w:rFonts w:asciiTheme="majorBidi" w:hAnsiTheme="majorBidi" w:cstheme="majorBidi"/>
          <w:color w:val="000000" w:themeColor="text1"/>
          <w:sz w:val="24"/>
          <w:szCs w:val="24"/>
          <w:shd w:val="clear" w:color="auto" w:fill="FFFFFF"/>
        </w:rPr>
        <w:t>)</w:t>
      </w:r>
      <w:r w:rsidR="00623739" w:rsidRPr="00615171">
        <w:rPr>
          <w:rFonts w:asciiTheme="majorBidi" w:hAnsiTheme="majorBidi" w:cstheme="majorBidi"/>
          <w:color w:val="000000" w:themeColor="text1"/>
          <w:sz w:val="24"/>
          <w:szCs w:val="24"/>
          <w:shd w:val="clear" w:color="auto" w:fill="FFFFFF"/>
        </w:rPr>
        <w:t xml:space="preserve">. </w:t>
      </w:r>
      <w:r w:rsidR="00895348" w:rsidRPr="00615171">
        <w:rPr>
          <w:rFonts w:asciiTheme="majorBidi" w:hAnsiTheme="majorBidi" w:cstheme="majorBidi"/>
          <w:color w:val="000000" w:themeColor="text1"/>
          <w:sz w:val="24"/>
          <w:szCs w:val="24"/>
          <w:shd w:val="clear" w:color="auto" w:fill="FFFFFF"/>
        </w:rPr>
        <w:t xml:space="preserve"> </w:t>
      </w:r>
      <w:proofErr w:type="gramStart"/>
      <w:r w:rsidR="00C41D8E" w:rsidRPr="00615171">
        <w:rPr>
          <w:rFonts w:asciiTheme="majorBidi" w:hAnsiTheme="majorBidi" w:cstheme="majorBidi"/>
          <w:color w:val="000000" w:themeColor="text1"/>
          <w:sz w:val="24"/>
          <w:szCs w:val="24"/>
          <w:shd w:val="clear" w:color="auto" w:fill="FFFFFF"/>
        </w:rPr>
        <w:t>Particular groups</w:t>
      </w:r>
      <w:proofErr w:type="gramEnd"/>
      <w:r w:rsidR="00C41D8E" w:rsidRPr="00615171">
        <w:rPr>
          <w:rFonts w:asciiTheme="majorBidi" w:hAnsiTheme="majorBidi" w:cstheme="majorBidi"/>
          <w:color w:val="000000" w:themeColor="text1"/>
          <w:sz w:val="24"/>
          <w:szCs w:val="24"/>
          <w:shd w:val="clear" w:color="auto" w:fill="FFFFFF"/>
        </w:rPr>
        <w:t xml:space="preserve"> are at risk, say f</w:t>
      </w:r>
      <w:r w:rsidR="00895348" w:rsidRPr="00615171">
        <w:rPr>
          <w:rFonts w:asciiTheme="majorBidi" w:hAnsiTheme="majorBidi" w:cstheme="majorBidi"/>
          <w:color w:val="000000" w:themeColor="text1"/>
          <w:sz w:val="24"/>
          <w:szCs w:val="24"/>
          <w:shd w:val="clear" w:color="auto" w:fill="FFFFFF"/>
        </w:rPr>
        <w:t>or example, m</w:t>
      </w:r>
      <w:proofErr w:type="spellStart"/>
      <w:r w:rsidR="001E3706" w:rsidRPr="00615171">
        <w:rPr>
          <w:rFonts w:asciiTheme="majorBidi" w:eastAsia="Times New Roman" w:hAnsiTheme="majorBidi" w:cstheme="majorBidi"/>
          <w:color w:val="000000" w:themeColor="text1"/>
          <w:sz w:val="24"/>
          <w:szCs w:val="24"/>
          <w:lang w:val="en-GB" w:eastAsia="zh-CN"/>
        </w:rPr>
        <w:t>ore</w:t>
      </w:r>
      <w:proofErr w:type="spellEnd"/>
      <w:r w:rsidR="001E3706" w:rsidRPr="00615171">
        <w:rPr>
          <w:rFonts w:asciiTheme="majorBidi" w:eastAsia="Times New Roman" w:hAnsiTheme="majorBidi" w:cstheme="majorBidi"/>
          <w:color w:val="000000" w:themeColor="text1"/>
          <w:sz w:val="24"/>
          <w:szCs w:val="24"/>
          <w:lang w:val="en-GB" w:eastAsia="zh-CN"/>
        </w:rPr>
        <w:t xml:space="preserve"> than 70 per cent of people aged over 70, and 55 per cent of people aged over 60 are deaf or hard of hearing. As the population ages the prevalence of hearing loss will grow; by 2031 there are predicted to be 14.5 million people with hearing loss (</w:t>
      </w:r>
      <w:r w:rsidR="003F72C3" w:rsidRPr="00615171">
        <w:rPr>
          <w:rFonts w:asciiTheme="majorBidi" w:hAnsiTheme="majorBidi" w:cstheme="majorBidi"/>
          <w:color w:val="000000" w:themeColor="text1"/>
          <w:sz w:val="24"/>
          <w:szCs w:val="24"/>
        </w:rPr>
        <w:t>Action on hearing loss, 2012</w:t>
      </w:r>
      <w:r w:rsidR="001E3706" w:rsidRPr="00615171">
        <w:rPr>
          <w:rFonts w:asciiTheme="majorBidi" w:eastAsia="Times New Roman" w:hAnsiTheme="majorBidi" w:cstheme="majorBidi"/>
          <w:color w:val="000000" w:themeColor="text1"/>
          <w:sz w:val="24"/>
          <w:szCs w:val="24"/>
          <w:lang w:val="en-GB" w:eastAsia="zh-CN"/>
        </w:rPr>
        <w:t>).</w:t>
      </w:r>
      <w:r w:rsidR="00623739" w:rsidRPr="00615171">
        <w:rPr>
          <w:rFonts w:asciiTheme="majorBidi" w:eastAsia="Times New Roman" w:hAnsiTheme="majorBidi" w:cstheme="majorBidi"/>
          <w:color w:val="000000" w:themeColor="text1"/>
          <w:sz w:val="24"/>
          <w:szCs w:val="24"/>
          <w:lang w:val="en-GB" w:eastAsia="zh-CN"/>
        </w:rPr>
        <w:t xml:space="preserve"> D</w:t>
      </w:r>
      <w:r w:rsidR="00E1288E" w:rsidRPr="00615171">
        <w:rPr>
          <w:rFonts w:asciiTheme="majorBidi" w:eastAsia="Times New Roman" w:hAnsiTheme="majorBidi" w:cstheme="majorBidi"/>
          <w:color w:val="000000" w:themeColor="text1"/>
          <w:sz w:val="24"/>
          <w:szCs w:val="24"/>
          <w:lang w:val="en-GB" w:eastAsia="zh-CN"/>
        </w:rPr>
        <w:t>ementia is becoming a critically important issue</w:t>
      </w:r>
      <w:r w:rsidR="00EB65E5" w:rsidRPr="00615171">
        <w:rPr>
          <w:rFonts w:asciiTheme="majorBidi" w:eastAsia="Times New Roman" w:hAnsiTheme="majorBidi" w:cstheme="majorBidi"/>
          <w:color w:val="000000" w:themeColor="text1"/>
          <w:sz w:val="24"/>
          <w:szCs w:val="24"/>
          <w:lang w:val="en-GB" w:eastAsia="zh-CN"/>
        </w:rPr>
        <w:t xml:space="preserve"> particularly for </w:t>
      </w:r>
      <w:r w:rsidR="00895348" w:rsidRPr="00615171">
        <w:rPr>
          <w:rFonts w:asciiTheme="majorBidi" w:eastAsia="Times New Roman" w:hAnsiTheme="majorBidi" w:cstheme="majorBidi"/>
          <w:color w:val="000000" w:themeColor="text1"/>
          <w:sz w:val="24"/>
          <w:szCs w:val="24"/>
          <w:lang w:val="en-GB" w:eastAsia="zh-CN"/>
        </w:rPr>
        <w:t>older women</w:t>
      </w:r>
      <w:r w:rsidR="00EB65E5" w:rsidRPr="00615171">
        <w:rPr>
          <w:rFonts w:asciiTheme="majorBidi" w:eastAsia="Times New Roman" w:hAnsiTheme="majorBidi" w:cstheme="majorBidi"/>
          <w:color w:val="000000" w:themeColor="text1"/>
          <w:sz w:val="24"/>
          <w:szCs w:val="24"/>
          <w:lang w:val="en-GB" w:eastAsia="zh-CN"/>
        </w:rPr>
        <w:t xml:space="preserve"> in the UK</w:t>
      </w:r>
      <w:r w:rsidR="00E1288E" w:rsidRPr="00615171">
        <w:rPr>
          <w:rFonts w:asciiTheme="majorBidi" w:eastAsia="Times New Roman" w:hAnsiTheme="majorBidi" w:cstheme="majorBidi"/>
          <w:color w:val="000000" w:themeColor="text1"/>
          <w:sz w:val="24"/>
          <w:szCs w:val="24"/>
          <w:lang w:val="en-GB" w:eastAsia="zh-CN"/>
        </w:rPr>
        <w:t>, in terms of both the high personal and social costs related to the disease, and the wider impact on other parts of the health and care system.</w:t>
      </w:r>
      <w:r w:rsidR="009D3671" w:rsidRPr="00615171">
        <w:rPr>
          <w:rStyle w:val="Strong"/>
          <w:rFonts w:asciiTheme="majorBidi" w:hAnsiTheme="majorBidi" w:cstheme="majorBidi"/>
          <w:color w:val="000000" w:themeColor="text1"/>
          <w:sz w:val="24"/>
          <w:szCs w:val="24"/>
          <w:shd w:val="clear" w:color="auto" w:fill="FFFFFF"/>
        </w:rPr>
        <w:t xml:space="preserve"> </w:t>
      </w:r>
      <w:r w:rsidR="009D3671" w:rsidRPr="00615171">
        <w:rPr>
          <w:rStyle w:val="Strong"/>
          <w:rFonts w:asciiTheme="majorBidi" w:hAnsiTheme="majorBidi" w:cstheme="majorBidi"/>
          <w:b w:val="0"/>
          <w:bCs w:val="0"/>
          <w:color w:val="000000" w:themeColor="text1"/>
          <w:sz w:val="24"/>
          <w:szCs w:val="24"/>
          <w:shd w:val="clear" w:color="auto" w:fill="FFFFFF"/>
        </w:rPr>
        <w:t>It is estimated that there are more than 570,000 people with dementia in England, and over the next 30 years that is expected to more than double to 1.4 million (</w:t>
      </w:r>
      <w:r w:rsidR="00623739" w:rsidRPr="00615171">
        <w:rPr>
          <w:rStyle w:val="Strong"/>
          <w:rFonts w:asciiTheme="majorBidi" w:hAnsiTheme="majorBidi" w:cstheme="majorBidi"/>
          <w:b w:val="0"/>
          <w:bCs w:val="0"/>
          <w:color w:val="000000" w:themeColor="text1"/>
          <w:sz w:val="24"/>
          <w:szCs w:val="24"/>
          <w:shd w:val="clear" w:color="auto" w:fill="FFFFFF"/>
        </w:rPr>
        <w:t xml:space="preserve">Snell </w:t>
      </w:r>
      <w:r w:rsidR="002E5F20" w:rsidRPr="00615171">
        <w:rPr>
          <w:rStyle w:val="Strong"/>
          <w:rFonts w:asciiTheme="majorBidi" w:hAnsiTheme="majorBidi" w:cstheme="majorBidi"/>
          <w:b w:val="0"/>
          <w:bCs w:val="0"/>
          <w:i/>
          <w:color w:val="000000" w:themeColor="text1"/>
          <w:sz w:val="24"/>
          <w:szCs w:val="24"/>
          <w:shd w:val="clear" w:color="auto" w:fill="FFFFFF"/>
        </w:rPr>
        <w:t>et al.</w:t>
      </w:r>
      <w:r w:rsidR="00623739" w:rsidRPr="00615171">
        <w:rPr>
          <w:rStyle w:val="Strong"/>
          <w:rFonts w:asciiTheme="majorBidi" w:hAnsiTheme="majorBidi" w:cstheme="majorBidi"/>
          <w:b w:val="0"/>
          <w:bCs w:val="0"/>
          <w:color w:val="000000" w:themeColor="text1"/>
          <w:sz w:val="24"/>
          <w:szCs w:val="24"/>
          <w:shd w:val="clear" w:color="auto" w:fill="FFFFFF"/>
        </w:rPr>
        <w:t xml:space="preserve">, 2011). </w:t>
      </w:r>
      <w:r w:rsidR="00E1288E" w:rsidRPr="00615171">
        <w:rPr>
          <w:rFonts w:asciiTheme="majorBidi" w:eastAsia="Times New Roman" w:hAnsiTheme="majorBidi" w:cstheme="majorBidi"/>
          <w:color w:val="000000" w:themeColor="text1"/>
          <w:sz w:val="24"/>
          <w:szCs w:val="24"/>
          <w:lang w:val="en-GB" w:eastAsia="zh-CN"/>
        </w:rPr>
        <w:t>Physical health problems significantly increase the risk of poor mental health, and vice versa.</w:t>
      </w:r>
      <w:r w:rsidR="00623739" w:rsidRPr="00615171">
        <w:rPr>
          <w:rFonts w:asciiTheme="majorBidi" w:eastAsia="Times New Roman" w:hAnsiTheme="majorBidi" w:cstheme="majorBidi"/>
          <w:color w:val="000000" w:themeColor="text1"/>
          <w:sz w:val="24"/>
          <w:szCs w:val="24"/>
          <w:lang w:val="en-GB" w:eastAsia="zh-CN"/>
        </w:rPr>
        <w:t xml:space="preserve"> </w:t>
      </w:r>
      <w:r w:rsidR="00E1288E" w:rsidRPr="00615171">
        <w:rPr>
          <w:rFonts w:asciiTheme="majorBidi" w:eastAsia="Times New Roman" w:hAnsiTheme="majorBidi" w:cstheme="majorBidi"/>
          <w:color w:val="000000" w:themeColor="text1"/>
          <w:sz w:val="24"/>
          <w:szCs w:val="24"/>
          <w:lang w:val="en-GB" w:eastAsia="zh-CN"/>
        </w:rPr>
        <w:t>Around 30 per cent of all people with a long-term physical health condition also have a mental health problem, most commonly depression/anxiety (</w:t>
      </w:r>
      <w:r w:rsidR="000C712B" w:rsidRPr="00615171">
        <w:rPr>
          <w:rFonts w:asciiTheme="majorBidi" w:eastAsia="Times New Roman" w:hAnsiTheme="majorBidi" w:cstheme="majorBidi"/>
          <w:color w:val="000000" w:themeColor="text1"/>
          <w:sz w:val="24"/>
          <w:szCs w:val="24"/>
          <w:lang w:val="en-GB" w:eastAsia="zh-CN"/>
        </w:rPr>
        <w:t>Department of Health, 2012)</w:t>
      </w:r>
      <w:r w:rsidR="00E1288E" w:rsidRPr="00615171">
        <w:rPr>
          <w:rFonts w:asciiTheme="majorBidi" w:eastAsia="Times New Roman" w:hAnsiTheme="majorBidi" w:cstheme="majorBidi"/>
          <w:color w:val="000000" w:themeColor="text1"/>
          <w:sz w:val="24"/>
          <w:szCs w:val="24"/>
          <w:lang w:val="en-GB" w:eastAsia="zh-CN"/>
        </w:rPr>
        <w:t>.</w:t>
      </w:r>
      <w:r w:rsidR="00516608" w:rsidRPr="00615171">
        <w:rPr>
          <w:rFonts w:asciiTheme="majorBidi" w:eastAsia="Times New Roman" w:hAnsiTheme="majorBidi" w:cstheme="majorBidi"/>
          <w:color w:val="000000" w:themeColor="text1"/>
          <w:sz w:val="24"/>
          <w:szCs w:val="24"/>
          <w:lang w:val="en-GB" w:eastAsia="zh-CN"/>
        </w:rPr>
        <w:t xml:space="preserve"> </w:t>
      </w:r>
      <w:r w:rsidR="00706F93" w:rsidRPr="00615171">
        <w:rPr>
          <w:rFonts w:asciiTheme="majorBidi" w:hAnsiTheme="majorBidi" w:cstheme="majorBidi"/>
          <w:color w:val="000000" w:themeColor="text1"/>
          <w:sz w:val="24"/>
          <w:szCs w:val="24"/>
          <w:shd w:val="clear" w:color="auto" w:fill="FFFFFF"/>
        </w:rPr>
        <w:t xml:space="preserve">Substance abuse, particularly of alcohol and prescription drugs, among adults 60 and older is one of the fastest growing health problems. </w:t>
      </w:r>
      <w:r w:rsidR="00E45D9C" w:rsidRPr="00615171">
        <w:rPr>
          <w:rFonts w:asciiTheme="majorBidi" w:eastAsia="Times New Roman" w:hAnsiTheme="majorBidi" w:cstheme="majorBidi"/>
          <w:color w:val="000000" w:themeColor="text1"/>
          <w:sz w:val="24"/>
          <w:szCs w:val="24"/>
          <w:lang w:val="en-GB" w:eastAsia="zh-CN"/>
        </w:rPr>
        <w:t>Problematic substance use for example is hitherto and increasingly recognised factor impacting on older people and interacting with a range of health conditions and use of health resources</w:t>
      </w:r>
      <w:r w:rsidR="00706F93" w:rsidRPr="00615171">
        <w:rPr>
          <w:rFonts w:asciiTheme="majorBidi" w:eastAsia="Times New Roman" w:hAnsiTheme="majorBidi" w:cstheme="majorBidi"/>
          <w:color w:val="000000" w:themeColor="text1"/>
          <w:sz w:val="24"/>
          <w:szCs w:val="24"/>
          <w:lang w:val="en-GB" w:eastAsia="zh-CN"/>
        </w:rPr>
        <w:t xml:space="preserve"> (</w:t>
      </w:r>
      <w:r w:rsidR="00247FDE" w:rsidRPr="00615171">
        <w:rPr>
          <w:rFonts w:asciiTheme="majorBidi" w:hAnsiTheme="majorBidi" w:cstheme="majorBidi"/>
          <w:color w:val="000000" w:themeColor="text1"/>
          <w:sz w:val="24"/>
          <w:szCs w:val="24"/>
          <w:shd w:val="clear" w:color="auto" w:fill="FFFFFF"/>
        </w:rPr>
        <w:t>Center for Substance Abuse Treatment (1998).</w:t>
      </w:r>
      <w:r w:rsidR="00706F93" w:rsidRPr="00615171">
        <w:rPr>
          <w:rFonts w:asciiTheme="majorBidi" w:eastAsia="Times New Roman" w:hAnsiTheme="majorBidi" w:cstheme="majorBidi"/>
          <w:color w:val="000000" w:themeColor="text1"/>
          <w:sz w:val="24"/>
          <w:szCs w:val="24"/>
          <w:lang w:val="en-GB" w:eastAsia="zh-CN"/>
        </w:rPr>
        <w:t xml:space="preserve"> </w:t>
      </w:r>
    </w:p>
    <w:p w14:paraId="0C5B08BB" w14:textId="77777777" w:rsidR="00FD21DE" w:rsidRPr="00615171" w:rsidRDefault="00FD21DE" w:rsidP="00466BBE">
      <w:pPr>
        <w:shd w:val="clear" w:color="auto" w:fill="FFFFFF"/>
        <w:spacing w:after="0" w:line="240" w:lineRule="auto"/>
        <w:ind w:firstLine="720"/>
        <w:jc w:val="both"/>
        <w:rPr>
          <w:rFonts w:asciiTheme="majorBidi" w:eastAsia="Times New Roman" w:hAnsiTheme="majorBidi" w:cstheme="majorBidi"/>
          <w:color w:val="000000" w:themeColor="text1"/>
          <w:sz w:val="24"/>
          <w:szCs w:val="24"/>
          <w:lang w:val="en-GB" w:eastAsia="zh-CN"/>
        </w:rPr>
      </w:pPr>
    </w:p>
    <w:p w14:paraId="5AEBAA2A" w14:textId="5D8DC58E" w:rsidR="00FD21DE" w:rsidRPr="00615171" w:rsidRDefault="00516608" w:rsidP="00177A2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shd w:val="clear" w:color="auto" w:fill="FFFFFF"/>
        </w:rPr>
        <w:t xml:space="preserve">Funding health </w:t>
      </w:r>
      <w:r w:rsidR="005D16CB" w:rsidRPr="00615171">
        <w:rPr>
          <w:rFonts w:asciiTheme="majorBidi" w:hAnsiTheme="majorBidi" w:cstheme="majorBidi"/>
          <w:color w:val="000000" w:themeColor="text1"/>
          <w:sz w:val="24"/>
          <w:szCs w:val="24"/>
          <w:shd w:val="clear" w:color="auto" w:fill="FFFFFF"/>
        </w:rPr>
        <w:t xml:space="preserve">and care </w:t>
      </w:r>
      <w:r w:rsidRPr="00615171">
        <w:rPr>
          <w:rFonts w:asciiTheme="majorBidi" w:hAnsiTheme="majorBidi" w:cstheme="majorBidi"/>
          <w:color w:val="000000" w:themeColor="text1"/>
          <w:sz w:val="24"/>
          <w:szCs w:val="24"/>
          <w:shd w:val="clear" w:color="auto" w:fill="FFFFFF"/>
        </w:rPr>
        <w:t>in later life has a disproportionate impact on the quality of life experienced by those from a lower SES</w:t>
      </w:r>
      <w:r w:rsidR="005D16CB" w:rsidRPr="00615171">
        <w:rPr>
          <w:rFonts w:asciiTheme="majorBidi" w:hAnsiTheme="majorBidi" w:cstheme="majorBidi"/>
          <w:color w:val="000000" w:themeColor="text1"/>
          <w:sz w:val="24"/>
          <w:szCs w:val="24"/>
          <w:shd w:val="clear" w:color="auto" w:fill="FFFFFF"/>
        </w:rPr>
        <w:t>. A notable change in the retreat of government, greater promotion of individualization within care provision whilst at the same time, reducing eligibility for services, has had a disproportionate impact on older people with lower SES (Hafford-Letchfield, 2013</w:t>
      </w:r>
      <w:r w:rsidR="00E45D9C" w:rsidRPr="00615171">
        <w:rPr>
          <w:rFonts w:asciiTheme="majorBidi" w:hAnsiTheme="majorBidi" w:cstheme="majorBidi"/>
          <w:color w:val="000000" w:themeColor="text1"/>
          <w:sz w:val="24"/>
          <w:szCs w:val="24"/>
          <w:shd w:val="clear" w:color="auto" w:fill="FFFFFF"/>
        </w:rPr>
        <w:t>)</w:t>
      </w:r>
      <w:r w:rsidR="005D16CB" w:rsidRPr="00615171">
        <w:rPr>
          <w:rFonts w:asciiTheme="majorBidi" w:hAnsiTheme="majorBidi" w:cstheme="majorBidi"/>
          <w:color w:val="000000" w:themeColor="text1"/>
          <w:sz w:val="24"/>
          <w:szCs w:val="24"/>
          <w:shd w:val="clear" w:color="auto" w:fill="FFFFFF"/>
        </w:rPr>
        <w:t>.  Furthermore there is little research that integrates class, gender and ethnicity perspectives to provide a more realistic evaluation of the complexities of caring and to evaluate differentials in both quality and</w:t>
      </w:r>
      <w:r w:rsidR="0043544D" w:rsidRPr="00615171">
        <w:rPr>
          <w:rFonts w:asciiTheme="majorBidi" w:hAnsiTheme="majorBidi" w:cstheme="majorBidi"/>
          <w:color w:val="000000" w:themeColor="text1"/>
          <w:sz w:val="24"/>
          <w:szCs w:val="24"/>
          <w:shd w:val="clear" w:color="auto" w:fill="FFFFFF"/>
        </w:rPr>
        <w:t xml:space="preserve"> </w:t>
      </w:r>
      <w:r w:rsidR="005D16CB" w:rsidRPr="00615171">
        <w:rPr>
          <w:rFonts w:asciiTheme="majorBidi" w:hAnsiTheme="majorBidi" w:cstheme="majorBidi"/>
          <w:color w:val="000000" w:themeColor="text1"/>
          <w:sz w:val="24"/>
          <w:szCs w:val="24"/>
          <w:shd w:val="clear" w:color="auto" w:fill="FFFFFF"/>
        </w:rPr>
        <w:t xml:space="preserve">outcomes of care (Victor, 2013; </w:t>
      </w:r>
      <w:r w:rsidR="00FD21DE" w:rsidRPr="00615171">
        <w:rPr>
          <w:rFonts w:asciiTheme="majorBidi" w:hAnsiTheme="majorBidi" w:cstheme="majorBidi"/>
          <w:color w:val="000000" w:themeColor="text1"/>
          <w:sz w:val="24"/>
          <w:szCs w:val="24"/>
          <w:shd w:val="clear" w:color="auto" w:fill="FFFFFF"/>
        </w:rPr>
        <w:t xml:space="preserve">Khan </w:t>
      </w:r>
      <w:r w:rsidR="00FD21DE" w:rsidRPr="00615171">
        <w:rPr>
          <w:rFonts w:asciiTheme="majorBidi" w:hAnsiTheme="majorBidi" w:cstheme="majorBidi"/>
          <w:i/>
          <w:iCs/>
          <w:color w:val="000000" w:themeColor="text1"/>
          <w:sz w:val="24"/>
          <w:szCs w:val="24"/>
          <w:shd w:val="clear" w:color="auto" w:fill="FFFFFF"/>
        </w:rPr>
        <w:t>et al.</w:t>
      </w:r>
      <w:r w:rsidR="00FD21DE" w:rsidRPr="00615171">
        <w:rPr>
          <w:rFonts w:asciiTheme="majorBidi" w:hAnsiTheme="majorBidi" w:cstheme="majorBidi"/>
          <w:color w:val="000000" w:themeColor="text1"/>
          <w:sz w:val="24"/>
          <w:szCs w:val="24"/>
          <w:shd w:val="clear" w:color="auto" w:fill="FFFFFF"/>
        </w:rPr>
        <w:t xml:space="preserve"> (2013)</w:t>
      </w:r>
      <w:r w:rsidR="005D16CB" w:rsidRPr="00615171">
        <w:rPr>
          <w:rFonts w:asciiTheme="majorBidi" w:hAnsiTheme="majorBidi" w:cstheme="majorBidi"/>
          <w:color w:val="000000" w:themeColor="text1"/>
          <w:sz w:val="24"/>
          <w:szCs w:val="24"/>
          <w:shd w:val="clear" w:color="auto" w:fill="FFFFFF"/>
        </w:rPr>
        <w:t>.</w:t>
      </w:r>
      <w:r w:rsidR="00FD21DE" w:rsidRPr="00615171">
        <w:rPr>
          <w:rFonts w:asciiTheme="majorBidi" w:hAnsiTheme="majorBidi" w:cstheme="majorBidi"/>
          <w:color w:val="000000" w:themeColor="text1"/>
          <w:sz w:val="24"/>
          <w:szCs w:val="24"/>
          <w:shd w:val="clear" w:color="auto" w:fill="FFFFFF"/>
        </w:rPr>
        <w:t xml:space="preserve">  </w:t>
      </w:r>
      <w:r w:rsidR="0043544D" w:rsidRPr="00615171">
        <w:rPr>
          <w:rFonts w:asciiTheme="majorBidi" w:hAnsiTheme="majorBidi" w:cstheme="majorBidi"/>
          <w:color w:val="000000" w:themeColor="text1"/>
          <w:sz w:val="24"/>
          <w:szCs w:val="24"/>
          <w:shd w:val="clear" w:color="auto" w:fill="FFFFFF"/>
        </w:rPr>
        <w:t xml:space="preserve">Reform to </w:t>
      </w:r>
      <w:r w:rsidR="0043544D" w:rsidRPr="00615171">
        <w:rPr>
          <w:rFonts w:asciiTheme="majorBidi" w:hAnsiTheme="majorBidi" w:cstheme="majorBidi"/>
          <w:color w:val="000000" w:themeColor="text1"/>
          <w:sz w:val="24"/>
          <w:szCs w:val="24"/>
          <w:shd w:val="clear" w:color="auto" w:fill="FFFFFF"/>
        </w:rPr>
        <w:lastRenderedPageBreak/>
        <w:t>funding of long term care is under pressure from both the contemporary motif of austerity and the ‘demographic’ imperative and has implications for the shifting of risk to those who may not be in a position to engage with it where there are less financial, educational or other resources to cope with these new responsibilities and roles (Hafford-Letchfield, 2013. For example within rural areas, allocations for commissioning health has failed to recognise the implications for those older people experiencing a combination of isolation, poverty and increased costs where services are being rationalized (</w:t>
      </w:r>
      <w:proofErr w:type="spellStart"/>
      <w:r w:rsidR="0043544D" w:rsidRPr="00615171">
        <w:rPr>
          <w:rFonts w:asciiTheme="majorBidi" w:hAnsiTheme="majorBidi" w:cstheme="majorBidi"/>
          <w:color w:val="000000" w:themeColor="text1"/>
          <w:sz w:val="24"/>
          <w:szCs w:val="24"/>
          <w:shd w:val="clear" w:color="auto" w:fill="FFFFFF"/>
        </w:rPr>
        <w:t>Burtholt</w:t>
      </w:r>
      <w:proofErr w:type="spellEnd"/>
      <w:r w:rsidR="0043544D" w:rsidRPr="00615171">
        <w:rPr>
          <w:rFonts w:asciiTheme="majorBidi" w:hAnsiTheme="majorBidi" w:cstheme="majorBidi"/>
          <w:color w:val="000000" w:themeColor="text1"/>
          <w:sz w:val="24"/>
          <w:szCs w:val="24"/>
          <w:shd w:val="clear" w:color="auto" w:fill="FFFFFF"/>
        </w:rPr>
        <w:t xml:space="preserve"> and </w:t>
      </w:r>
      <w:proofErr w:type="spellStart"/>
      <w:r w:rsidR="0043544D" w:rsidRPr="00615171">
        <w:rPr>
          <w:rFonts w:asciiTheme="majorBidi" w:hAnsiTheme="majorBidi" w:cstheme="majorBidi"/>
          <w:color w:val="000000" w:themeColor="text1"/>
          <w:sz w:val="24"/>
          <w:szCs w:val="24"/>
          <w:shd w:val="clear" w:color="auto" w:fill="FFFFFF"/>
        </w:rPr>
        <w:t>Windle</w:t>
      </w:r>
      <w:proofErr w:type="spellEnd"/>
      <w:r w:rsidR="0043544D" w:rsidRPr="00615171">
        <w:rPr>
          <w:rFonts w:asciiTheme="majorBidi" w:hAnsiTheme="majorBidi" w:cstheme="majorBidi"/>
          <w:color w:val="000000" w:themeColor="text1"/>
          <w:sz w:val="24"/>
          <w:szCs w:val="24"/>
          <w:shd w:val="clear" w:color="auto" w:fill="FFFFFF"/>
        </w:rPr>
        <w:t xml:space="preserve">, 2006)..  </w:t>
      </w:r>
    </w:p>
    <w:p w14:paraId="1DEBF064" w14:textId="77777777" w:rsidR="00FD21DE" w:rsidRPr="00615171" w:rsidRDefault="00FD21DE" w:rsidP="00EB528B">
      <w:pPr>
        <w:pStyle w:val="NormalWeb"/>
        <w:spacing w:before="0" w:beforeAutospacing="0" w:after="0" w:afterAutospacing="0"/>
        <w:rPr>
          <w:rFonts w:asciiTheme="majorBidi" w:hAnsiTheme="majorBidi" w:cstheme="majorBidi"/>
          <w:b/>
          <w:color w:val="000000" w:themeColor="text1"/>
        </w:rPr>
      </w:pPr>
    </w:p>
    <w:p w14:paraId="64CF1E3C" w14:textId="15E3B0D4" w:rsidR="00623739" w:rsidRPr="00615171" w:rsidRDefault="00466BBE" w:rsidP="00003A98">
      <w:pPr>
        <w:pStyle w:val="NormalWeb"/>
        <w:spacing w:before="0" w:beforeAutospacing="0" w:after="0" w:afterAutospacing="0"/>
        <w:jc w:val="center"/>
        <w:rPr>
          <w:rFonts w:asciiTheme="majorBidi" w:hAnsiTheme="majorBidi" w:cstheme="majorBidi"/>
          <w:b/>
          <w:color w:val="000000" w:themeColor="text1"/>
        </w:rPr>
      </w:pPr>
      <w:r w:rsidRPr="00615171">
        <w:rPr>
          <w:rFonts w:asciiTheme="majorBidi" w:hAnsiTheme="majorBidi" w:cstheme="majorBidi"/>
          <w:b/>
          <w:color w:val="000000" w:themeColor="text1"/>
        </w:rPr>
        <w:t>C</w:t>
      </w:r>
      <w:r w:rsidR="00ED7AEF" w:rsidRPr="00615171">
        <w:rPr>
          <w:rFonts w:asciiTheme="majorBidi" w:hAnsiTheme="majorBidi" w:cstheme="majorBidi"/>
          <w:b/>
          <w:color w:val="000000" w:themeColor="text1"/>
        </w:rPr>
        <w:t>ORRELATES OF SES INDICATORS AND</w:t>
      </w:r>
      <w:r w:rsidRPr="00615171">
        <w:rPr>
          <w:rFonts w:asciiTheme="majorBidi" w:hAnsiTheme="majorBidi" w:cstheme="majorBidi"/>
          <w:b/>
          <w:color w:val="000000" w:themeColor="text1"/>
        </w:rPr>
        <w:t xml:space="preserve"> HEALTH</w:t>
      </w:r>
    </w:p>
    <w:p w14:paraId="78C7CE91" w14:textId="77777777" w:rsidR="00623739" w:rsidRPr="00615171" w:rsidRDefault="00623739" w:rsidP="00623739">
      <w:pPr>
        <w:pStyle w:val="NormalWeb"/>
        <w:spacing w:before="0" w:beforeAutospacing="0" w:after="0" w:afterAutospacing="0"/>
        <w:jc w:val="both"/>
        <w:rPr>
          <w:rFonts w:asciiTheme="majorBidi" w:hAnsiTheme="majorBidi" w:cstheme="majorBidi"/>
          <w:color w:val="000000" w:themeColor="text1"/>
        </w:rPr>
      </w:pPr>
    </w:p>
    <w:p w14:paraId="3CE129D4" w14:textId="111E9DEF" w:rsidR="00444293" w:rsidRPr="00615171" w:rsidRDefault="0043544D" w:rsidP="0043544D">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Following the overarching themes raised earlier, t</w:t>
      </w:r>
      <w:r w:rsidR="00121D73" w:rsidRPr="00615171">
        <w:rPr>
          <w:rFonts w:asciiTheme="majorBidi" w:hAnsiTheme="majorBidi" w:cstheme="majorBidi"/>
          <w:color w:val="000000" w:themeColor="text1"/>
          <w:sz w:val="24"/>
          <w:szCs w:val="24"/>
        </w:rPr>
        <w:t>his section discusses</w:t>
      </w:r>
      <w:r w:rsidR="00EB528B" w:rsidRPr="00615171">
        <w:rPr>
          <w:rFonts w:asciiTheme="majorBidi" w:hAnsiTheme="majorBidi" w:cstheme="majorBidi"/>
          <w:color w:val="000000" w:themeColor="text1"/>
          <w:sz w:val="24"/>
          <w:szCs w:val="24"/>
        </w:rPr>
        <w:t xml:space="preserve"> the</w:t>
      </w:r>
      <w:r w:rsidR="00444293" w:rsidRPr="00615171">
        <w:rPr>
          <w:rFonts w:asciiTheme="majorBidi" w:hAnsiTheme="majorBidi" w:cstheme="majorBidi"/>
          <w:color w:val="000000" w:themeColor="text1"/>
          <w:sz w:val="24"/>
          <w:szCs w:val="24"/>
        </w:rPr>
        <w:t xml:space="preserve"> key SES indicators</w:t>
      </w:r>
      <w:r w:rsidR="00345724" w:rsidRPr="00615171">
        <w:rPr>
          <w:rFonts w:asciiTheme="majorBidi" w:hAnsiTheme="majorBidi" w:cstheme="majorBidi"/>
          <w:color w:val="000000" w:themeColor="text1"/>
          <w:sz w:val="24"/>
          <w:szCs w:val="24"/>
        </w:rPr>
        <w:t xml:space="preserve"> separately</w:t>
      </w:r>
      <w:r w:rsidR="00444293" w:rsidRPr="00615171">
        <w:rPr>
          <w:rFonts w:asciiTheme="majorBidi" w:hAnsiTheme="majorBidi" w:cstheme="majorBidi"/>
          <w:color w:val="000000" w:themeColor="text1"/>
          <w:sz w:val="24"/>
          <w:szCs w:val="24"/>
        </w:rPr>
        <w:t xml:space="preserve"> and their</w:t>
      </w:r>
      <w:r w:rsidR="00121D73" w:rsidRPr="00615171">
        <w:rPr>
          <w:rFonts w:asciiTheme="majorBidi" w:hAnsiTheme="majorBidi" w:cstheme="majorBidi"/>
          <w:color w:val="000000" w:themeColor="text1"/>
          <w:sz w:val="24"/>
          <w:szCs w:val="24"/>
        </w:rPr>
        <w:t xml:space="preserve"> correlates with health inequalities among </w:t>
      </w:r>
      <w:r w:rsidR="00CE71E9" w:rsidRPr="00615171">
        <w:rPr>
          <w:rFonts w:asciiTheme="majorBidi" w:hAnsiTheme="majorBidi" w:cstheme="majorBidi"/>
          <w:color w:val="000000" w:themeColor="text1"/>
          <w:sz w:val="24"/>
          <w:szCs w:val="24"/>
        </w:rPr>
        <w:t xml:space="preserve">the </w:t>
      </w:r>
      <w:r w:rsidR="00162EAB" w:rsidRPr="00615171">
        <w:rPr>
          <w:rFonts w:asciiTheme="majorBidi" w:hAnsiTheme="majorBidi" w:cstheme="majorBidi"/>
          <w:color w:val="000000" w:themeColor="text1"/>
          <w:sz w:val="24"/>
          <w:szCs w:val="24"/>
        </w:rPr>
        <w:t>older ageing</w:t>
      </w:r>
      <w:r w:rsidR="00121D73" w:rsidRPr="00615171">
        <w:rPr>
          <w:rFonts w:asciiTheme="majorBidi" w:hAnsiTheme="majorBidi" w:cstheme="majorBidi"/>
          <w:color w:val="000000" w:themeColor="text1"/>
          <w:sz w:val="24"/>
          <w:szCs w:val="24"/>
        </w:rPr>
        <w:t xml:space="preserve"> population in the UK.</w:t>
      </w:r>
      <w:r w:rsidR="00D73F3E" w:rsidRPr="00615171">
        <w:rPr>
          <w:rFonts w:asciiTheme="majorBidi" w:hAnsiTheme="majorBidi" w:cstheme="majorBidi"/>
          <w:color w:val="000000" w:themeColor="text1"/>
          <w:sz w:val="24"/>
          <w:szCs w:val="24"/>
        </w:rPr>
        <w:t xml:space="preserve"> In particular, </w:t>
      </w:r>
      <w:r w:rsidR="00121D73" w:rsidRPr="00615171">
        <w:rPr>
          <w:rFonts w:asciiTheme="majorBidi" w:hAnsiTheme="majorBidi" w:cstheme="majorBidi"/>
          <w:color w:val="000000" w:themeColor="text1"/>
          <w:sz w:val="24"/>
          <w:szCs w:val="24"/>
        </w:rPr>
        <w:t>how</w:t>
      </w:r>
      <w:r w:rsidR="00EB528B" w:rsidRPr="00615171">
        <w:rPr>
          <w:rFonts w:asciiTheme="majorBidi" w:hAnsiTheme="majorBidi" w:cstheme="majorBidi"/>
          <w:color w:val="000000" w:themeColor="text1"/>
          <w:sz w:val="24"/>
          <w:szCs w:val="24"/>
        </w:rPr>
        <w:t xml:space="preserve"> the</w:t>
      </w:r>
      <w:r w:rsidR="00121D73" w:rsidRPr="00615171">
        <w:rPr>
          <w:rFonts w:asciiTheme="majorBidi" w:hAnsiTheme="majorBidi" w:cstheme="majorBidi"/>
          <w:color w:val="000000" w:themeColor="text1"/>
          <w:sz w:val="24"/>
          <w:szCs w:val="24"/>
        </w:rPr>
        <w:t xml:space="preserve"> inequalities in health of</w:t>
      </w:r>
      <w:r w:rsidR="00C8058A" w:rsidRPr="00615171">
        <w:rPr>
          <w:rFonts w:asciiTheme="majorBidi" w:hAnsiTheme="majorBidi" w:cstheme="majorBidi"/>
          <w:color w:val="000000" w:themeColor="text1"/>
          <w:sz w:val="24"/>
          <w:szCs w:val="24"/>
        </w:rPr>
        <w:t xml:space="preserve"> older adults in the UK </w:t>
      </w:r>
      <w:r w:rsidR="00162EAB" w:rsidRPr="00615171">
        <w:rPr>
          <w:rFonts w:asciiTheme="majorBidi" w:hAnsiTheme="majorBidi" w:cstheme="majorBidi"/>
          <w:color w:val="000000" w:themeColor="text1"/>
          <w:sz w:val="24"/>
          <w:szCs w:val="24"/>
        </w:rPr>
        <w:t xml:space="preserve">s </w:t>
      </w:r>
      <w:r w:rsidR="00C8058A" w:rsidRPr="00615171">
        <w:rPr>
          <w:rFonts w:asciiTheme="majorBidi" w:hAnsiTheme="majorBidi" w:cstheme="majorBidi"/>
          <w:color w:val="000000" w:themeColor="text1"/>
          <w:sz w:val="24"/>
          <w:szCs w:val="24"/>
        </w:rPr>
        <w:t>associated with</w:t>
      </w:r>
      <w:r w:rsidR="00121D73" w:rsidRPr="00615171">
        <w:rPr>
          <w:rFonts w:asciiTheme="majorBidi" w:hAnsiTheme="majorBidi" w:cstheme="majorBidi"/>
          <w:color w:val="000000" w:themeColor="text1"/>
          <w:sz w:val="24"/>
          <w:szCs w:val="24"/>
        </w:rPr>
        <w:t xml:space="preserve"> </w:t>
      </w:r>
      <w:r w:rsidR="00D73F3E" w:rsidRPr="00615171">
        <w:rPr>
          <w:rFonts w:asciiTheme="majorBidi" w:hAnsiTheme="majorBidi" w:cstheme="majorBidi"/>
          <w:color w:val="000000" w:themeColor="text1"/>
          <w:sz w:val="24"/>
          <w:szCs w:val="24"/>
        </w:rPr>
        <w:t>differential</w:t>
      </w:r>
      <w:r w:rsidR="00C8058A" w:rsidRPr="00615171">
        <w:rPr>
          <w:rFonts w:asciiTheme="majorBidi" w:hAnsiTheme="majorBidi" w:cstheme="majorBidi"/>
          <w:color w:val="000000" w:themeColor="text1"/>
          <w:sz w:val="24"/>
          <w:szCs w:val="24"/>
        </w:rPr>
        <w:t>s</w:t>
      </w:r>
      <w:r w:rsidR="00D73F3E" w:rsidRPr="00615171">
        <w:rPr>
          <w:rFonts w:asciiTheme="majorBidi" w:hAnsiTheme="majorBidi" w:cstheme="majorBidi"/>
          <w:color w:val="000000" w:themeColor="text1"/>
          <w:sz w:val="24"/>
          <w:szCs w:val="24"/>
        </w:rPr>
        <w:t xml:space="preserve"> in income</w:t>
      </w:r>
      <w:r w:rsidR="00E71037" w:rsidRPr="00615171">
        <w:rPr>
          <w:rFonts w:asciiTheme="majorBidi" w:hAnsiTheme="majorBidi" w:cstheme="majorBidi"/>
          <w:color w:val="000000" w:themeColor="text1"/>
          <w:sz w:val="24"/>
          <w:szCs w:val="24"/>
        </w:rPr>
        <w:t xml:space="preserve"> and wealth</w:t>
      </w:r>
      <w:r w:rsidR="00D73F3E" w:rsidRPr="00615171">
        <w:rPr>
          <w:rFonts w:asciiTheme="majorBidi" w:hAnsiTheme="majorBidi" w:cstheme="majorBidi"/>
          <w:color w:val="000000" w:themeColor="text1"/>
          <w:sz w:val="24"/>
          <w:szCs w:val="24"/>
        </w:rPr>
        <w:t>, education, occupation and material deprivation are discussed</w:t>
      </w:r>
      <w:r w:rsidR="00345724" w:rsidRPr="00615171">
        <w:rPr>
          <w:rFonts w:asciiTheme="majorBidi" w:hAnsiTheme="majorBidi" w:cstheme="majorBidi"/>
          <w:color w:val="000000" w:themeColor="text1"/>
          <w:sz w:val="24"/>
          <w:szCs w:val="24"/>
        </w:rPr>
        <w:t xml:space="preserve"> respectively</w:t>
      </w:r>
      <w:r w:rsidR="00D73F3E" w:rsidRPr="00615171">
        <w:rPr>
          <w:rFonts w:asciiTheme="majorBidi" w:hAnsiTheme="majorBidi" w:cstheme="majorBidi"/>
          <w:color w:val="000000" w:themeColor="text1"/>
          <w:sz w:val="24"/>
          <w:szCs w:val="24"/>
        </w:rPr>
        <w:t>.</w:t>
      </w:r>
    </w:p>
    <w:p w14:paraId="2FE036F4" w14:textId="77777777" w:rsidR="00D73F3E" w:rsidRPr="00615171" w:rsidRDefault="00D73F3E" w:rsidP="00623739">
      <w:pPr>
        <w:spacing w:after="0" w:line="240" w:lineRule="auto"/>
        <w:ind w:firstLine="720"/>
        <w:jc w:val="both"/>
        <w:rPr>
          <w:rFonts w:asciiTheme="majorBidi" w:hAnsiTheme="majorBidi" w:cstheme="majorBidi"/>
          <w:color w:val="000000" w:themeColor="text1"/>
          <w:sz w:val="24"/>
          <w:szCs w:val="24"/>
        </w:rPr>
      </w:pPr>
    </w:p>
    <w:p w14:paraId="654F227F" w14:textId="22E0BF3D" w:rsidR="000570C4" w:rsidRPr="00615171" w:rsidRDefault="007715C0" w:rsidP="00FB15A8">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A person’s </w:t>
      </w:r>
      <w:r w:rsidR="00662351" w:rsidRPr="00615171">
        <w:rPr>
          <w:rFonts w:asciiTheme="majorBidi" w:hAnsiTheme="majorBidi" w:cstheme="majorBidi"/>
          <w:color w:val="000000" w:themeColor="text1"/>
          <w:sz w:val="24"/>
          <w:szCs w:val="24"/>
        </w:rPr>
        <w:t>i</w:t>
      </w:r>
      <w:r w:rsidR="006063C1" w:rsidRPr="00615171">
        <w:rPr>
          <w:rFonts w:asciiTheme="majorBidi" w:hAnsiTheme="majorBidi" w:cstheme="majorBidi"/>
          <w:color w:val="000000" w:themeColor="text1"/>
          <w:sz w:val="24"/>
          <w:szCs w:val="24"/>
        </w:rPr>
        <w:t>ncome</w:t>
      </w:r>
      <w:r w:rsidR="00662351" w:rsidRPr="00615171">
        <w:rPr>
          <w:rFonts w:asciiTheme="majorBidi" w:hAnsiTheme="majorBidi" w:cstheme="majorBidi"/>
          <w:color w:val="000000" w:themeColor="text1"/>
          <w:sz w:val="24"/>
          <w:szCs w:val="24"/>
        </w:rPr>
        <w:t xml:space="preserve"> level</w:t>
      </w:r>
      <w:r w:rsidR="008679D5" w:rsidRPr="00615171">
        <w:rPr>
          <w:rFonts w:asciiTheme="majorBidi" w:hAnsiTheme="majorBidi" w:cstheme="majorBidi"/>
          <w:color w:val="000000" w:themeColor="text1"/>
          <w:sz w:val="24"/>
          <w:szCs w:val="24"/>
        </w:rPr>
        <w:t xml:space="preserve"> is</w:t>
      </w:r>
      <w:r w:rsidR="006063C1" w:rsidRPr="00615171">
        <w:rPr>
          <w:rFonts w:asciiTheme="majorBidi" w:hAnsiTheme="majorBidi" w:cstheme="majorBidi"/>
          <w:color w:val="000000" w:themeColor="text1"/>
          <w:sz w:val="24"/>
          <w:szCs w:val="24"/>
        </w:rPr>
        <w:t xml:space="preserve"> one of the main indicator</w:t>
      </w:r>
      <w:r w:rsidR="008679D5" w:rsidRPr="00615171">
        <w:rPr>
          <w:rFonts w:asciiTheme="majorBidi" w:hAnsiTheme="majorBidi" w:cstheme="majorBidi"/>
          <w:color w:val="000000" w:themeColor="text1"/>
          <w:sz w:val="24"/>
          <w:szCs w:val="24"/>
        </w:rPr>
        <w:t>s</w:t>
      </w:r>
      <w:r w:rsidR="006063C1" w:rsidRPr="00615171">
        <w:rPr>
          <w:rFonts w:asciiTheme="majorBidi" w:hAnsiTheme="majorBidi" w:cstheme="majorBidi"/>
          <w:color w:val="000000" w:themeColor="text1"/>
          <w:sz w:val="24"/>
          <w:szCs w:val="24"/>
        </w:rPr>
        <w:t xml:space="preserve"> of </w:t>
      </w:r>
      <w:r w:rsidR="008679D5" w:rsidRPr="00615171">
        <w:rPr>
          <w:rFonts w:asciiTheme="majorBidi" w:hAnsiTheme="majorBidi" w:cstheme="majorBidi"/>
          <w:color w:val="000000" w:themeColor="text1"/>
          <w:sz w:val="24"/>
          <w:szCs w:val="24"/>
        </w:rPr>
        <w:t xml:space="preserve">their </w:t>
      </w:r>
      <w:r w:rsidR="00FB15A8" w:rsidRPr="00615171">
        <w:rPr>
          <w:rFonts w:asciiTheme="majorBidi" w:hAnsiTheme="majorBidi" w:cstheme="majorBidi"/>
          <w:color w:val="000000" w:themeColor="text1"/>
          <w:sz w:val="24"/>
          <w:szCs w:val="24"/>
        </w:rPr>
        <w:t xml:space="preserve">SES </w:t>
      </w:r>
      <w:r w:rsidRPr="00615171">
        <w:rPr>
          <w:rFonts w:asciiTheme="majorBidi" w:hAnsiTheme="majorBidi" w:cstheme="majorBidi"/>
          <w:color w:val="000000" w:themeColor="text1"/>
          <w:sz w:val="24"/>
          <w:szCs w:val="24"/>
        </w:rPr>
        <w:t>and</w:t>
      </w:r>
      <w:r w:rsidR="00397F4F" w:rsidRPr="00615171">
        <w:rPr>
          <w:rFonts w:asciiTheme="majorBidi" w:hAnsiTheme="majorBidi" w:cstheme="majorBidi"/>
          <w:color w:val="000000" w:themeColor="text1"/>
          <w:sz w:val="24"/>
          <w:szCs w:val="24"/>
        </w:rPr>
        <w:t xml:space="preserve"> has a</w:t>
      </w:r>
      <w:r w:rsidR="006063C1" w:rsidRPr="00615171">
        <w:rPr>
          <w:rFonts w:asciiTheme="majorBidi" w:hAnsiTheme="majorBidi" w:cstheme="majorBidi"/>
          <w:color w:val="000000" w:themeColor="text1"/>
          <w:sz w:val="24"/>
          <w:szCs w:val="24"/>
        </w:rPr>
        <w:t xml:space="preserve"> significant ass</w:t>
      </w:r>
      <w:r w:rsidR="00397F4F" w:rsidRPr="00615171">
        <w:rPr>
          <w:rFonts w:asciiTheme="majorBidi" w:hAnsiTheme="majorBidi" w:cstheme="majorBidi"/>
          <w:color w:val="000000" w:themeColor="text1"/>
          <w:sz w:val="24"/>
          <w:szCs w:val="24"/>
        </w:rPr>
        <w:t>ociation with</w:t>
      </w:r>
      <w:r w:rsidR="00AA5939" w:rsidRPr="00615171">
        <w:rPr>
          <w:rFonts w:asciiTheme="majorBidi" w:hAnsiTheme="majorBidi" w:cstheme="majorBidi"/>
          <w:color w:val="000000" w:themeColor="text1"/>
          <w:sz w:val="24"/>
          <w:szCs w:val="24"/>
        </w:rPr>
        <w:t xml:space="preserve"> their health</w:t>
      </w:r>
      <w:r w:rsidR="00487490" w:rsidRPr="00615171">
        <w:rPr>
          <w:rFonts w:asciiTheme="majorBidi" w:hAnsiTheme="majorBidi" w:cstheme="majorBidi"/>
          <w:color w:val="000000" w:themeColor="text1"/>
          <w:sz w:val="24"/>
          <w:szCs w:val="24"/>
        </w:rPr>
        <w:t>. L</w:t>
      </w:r>
      <w:r w:rsidR="00662351" w:rsidRPr="00615171">
        <w:rPr>
          <w:rFonts w:asciiTheme="majorBidi" w:hAnsiTheme="majorBidi" w:cstheme="majorBidi"/>
          <w:color w:val="000000" w:themeColor="text1"/>
          <w:sz w:val="24"/>
          <w:szCs w:val="24"/>
        </w:rPr>
        <w:t>ow</w:t>
      </w:r>
      <w:r w:rsidR="00487490" w:rsidRPr="00615171">
        <w:rPr>
          <w:rFonts w:asciiTheme="majorBidi" w:hAnsiTheme="majorBidi" w:cstheme="majorBidi"/>
          <w:color w:val="000000" w:themeColor="text1"/>
          <w:sz w:val="24"/>
          <w:szCs w:val="24"/>
        </w:rPr>
        <w:t xml:space="preserve">er economic status </w:t>
      </w:r>
      <w:r w:rsidR="00397F4F" w:rsidRPr="00615171">
        <w:rPr>
          <w:rFonts w:asciiTheme="majorBidi" w:hAnsiTheme="majorBidi" w:cstheme="majorBidi"/>
          <w:color w:val="000000" w:themeColor="text1"/>
          <w:sz w:val="24"/>
          <w:szCs w:val="24"/>
        </w:rPr>
        <w:t>prevent</w:t>
      </w:r>
      <w:r w:rsidR="00487490" w:rsidRPr="00615171">
        <w:rPr>
          <w:rFonts w:asciiTheme="majorBidi" w:hAnsiTheme="majorBidi" w:cstheme="majorBidi"/>
          <w:color w:val="000000" w:themeColor="text1"/>
          <w:sz w:val="24"/>
          <w:szCs w:val="24"/>
        </w:rPr>
        <w:t>s people</w:t>
      </w:r>
      <w:r w:rsidR="00397F4F" w:rsidRPr="00615171">
        <w:rPr>
          <w:rFonts w:asciiTheme="majorBidi" w:hAnsiTheme="majorBidi" w:cstheme="majorBidi"/>
          <w:color w:val="000000" w:themeColor="text1"/>
          <w:sz w:val="24"/>
          <w:szCs w:val="24"/>
        </w:rPr>
        <w:t xml:space="preserve"> </w:t>
      </w:r>
      <w:r w:rsidR="00662351" w:rsidRPr="00615171">
        <w:rPr>
          <w:rFonts w:asciiTheme="majorBidi" w:hAnsiTheme="majorBidi" w:cstheme="majorBidi"/>
          <w:color w:val="000000" w:themeColor="text1"/>
          <w:sz w:val="24"/>
          <w:szCs w:val="24"/>
        </w:rPr>
        <w:t xml:space="preserve">from </w:t>
      </w:r>
      <w:r w:rsidR="00487490" w:rsidRPr="00615171">
        <w:rPr>
          <w:rFonts w:asciiTheme="majorBidi" w:hAnsiTheme="majorBidi" w:cstheme="majorBidi"/>
          <w:color w:val="000000" w:themeColor="text1"/>
          <w:sz w:val="24"/>
          <w:szCs w:val="24"/>
        </w:rPr>
        <w:t xml:space="preserve">actively </w:t>
      </w:r>
      <w:r w:rsidR="00662351" w:rsidRPr="00615171">
        <w:rPr>
          <w:rFonts w:asciiTheme="majorBidi" w:hAnsiTheme="majorBidi" w:cstheme="majorBidi"/>
          <w:color w:val="000000" w:themeColor="text1"/>
          <w:sz w:val="24"/>
          <w:szCs w:val="24"/>
        </w:rPr>
        <w:t xml:space="preserve">participating </w:t>
      </w:r>
      <w:r w:rsidR="00487490" w:rsidRPr="00615171">
        <w:rPr>
          <w:rFonts w:asciiTheme="majorBidi" w:hAnsiTheme="majorBidi" w:cstheme="majorBidi"/>
          <w:color w:val="000000" w:themeColor="text1"/>
          <w:sz w:val="24"/>
          <w:szCs w:val="24"/>
        </w:rPr>
        <w:t xml:space="preserve">in </w:t>
      </w:r>
      <w:r w:rsidR="00662351" w:rsidRPr="00615171">
        <w:rPr>
          <w:rFonts w:asciiTheme="majorBidi" w:hAnsiTheme="majorBidi" w:cstheme="majorBidi"/>
          <w:color w:val="000000" w:themeColor="text1"/>
          <w:sz w:val="24"/>
          <w:szCs w:val="24"/>
        </w:rPr>
        <w:t xml:space="preserve">social events and </w:t>
      </w:r>
      <w:r w:rsidRPr="00615171">
        <w:rPr>
          <w:rFonts w:asciiTheme="majorBidi" w:hAnsiTheme="majorBidi" w:cstheme="majorBidi"/>
          <w:color w:val="000000" w:themeColor="text1"/>
          <w:sz w:val="24"/>
          <w:szCs w:val="24"/>
        </w:rPr>
        <w:t xml:space="preserve">can </w:t>
      </w:r>
      <w:r w:rsidR="00397F4F" w:rsidRPr="00615171">
        <w:rPr>
          <w:rFonts w:asciiTheme="majorBidi" w:hAnsiTheme="majorBidi" w:cstheme="majorBidi"/>
          <w:color w:val="000000" w:themeColor="text1"/>
          <w:sz w:val="24"/>
          <w:szCs w:val="24"/>
        </w:rPr>
        <w:t>make them feel less worthy or</w:t>
      </w:r>
      <w:r w:rsidRPr="00615171">
        <w:rPr>
          <w:rFonts w:asciiTheme="majorBidi" w:hAnsiTheme="majorBidi" w:cstheme="majorBidi"/>
          <w:color w:val="000000" w:themeColor="text1"/>
          <w:sz w:val="24"/>
          <w:szCs w:val="24"/>
        </w:rPr>
        <w:t xml:space="preserve"> of a</w:t>
      </w:r>
      <w:r w:rsidR="00397F4F" w:rsidRPr="00615171">
        <w:rPr>
          <w:rFonts w:asciiTheme="majorBidi" w:hAnsiTheme="majorBidi" w:cstheme="majorBidi"/>
          <w:color w:val="000000" w:themeColor="text1"/>
          <w:sz w:val="24"/>
          <w:szCs w:val="24"/>
        </w:rPr>
        <w:t xml:space="preserve"> lower status </w:t>
      </w:r>
      <w:r w:rsidR="00487490" w:rsidRPr="00615171">
        <w:rPr>
          <w:rFonts w:asciiTheme="majorBidi" w:hAnsiTheme="majorBidi" w:cstheme="majorBidi"/>
          <w:color w:val="000000" w:themeColor="text1"/>
          <w:sz w:val="24"/>
          <w:szCs w:val="24"/>
        </w:rPr>
        <w:t xml:space="preserve">in </w:t>
      </w:r>
      <w:r w:rsidR="002C050D" w:rsidRPr="00615171">
        <w:rPr>
          <w:rFonts w:asciiTheme="majorBidi" w:hAnsiTheme="majorBidi" w:cstheme="majorBidi"/>
          <w:color w:val="000000" w:themeColor="text1"/>
          <w:sz w:val="24"/>
          <w:szCs w:val="24"/>
        </w:rPr>
        <w:t xml:space="preserve">the </w:t>
      </w:r>
      <w:r w:rsidR="00487490" w:rsidRPr="00615171">
        <w:rPr>
          <w:rFonts w:asciiTheme="majorBidi" w:hAnsiTheme="majorBidi" w:cstheme="majorBidi"/>
          <w:color w:val="000000" w:themeColor="text1"/>
          <w:sz w:val="24"/>
          <w:szCs w:val="24"/>
        </w:rPr>
        <w:t xml:space="preserve">society </w:t>
      </w:r>
      <w:r w:rsidR="00397F4F" w:rsidRPr="00615171">
        <w:rPr>
          <w:rFonts w:asciiTheme="majorBidi" w:hAnsiTheme="majorBidi" w:cstheme="majorBidi"/>
          <w:color w:val="000000" w:themeColor="text1"/>
          <w:sz w:val="24"/>
          <w:szCs w:val="24"/>
        </w:rPr>
        <w:t>compare</w:t>
      </w:r>
      <w:r w:rsidRPr="00615171">
        <w:rPr>
          <w:rFonts w:asciiTheme="majorBidi" w:hAnsiTheme="majorBidi" w:cstheme="majorBidi"/>
          <w:color w:val="000000" w:themeColor="text1"/>
          <w:sz w:val="24"/>
          <w:szCs w:val="24"/>
        </w:rPr>
        <w:t>d</w:t>
      </w:r>
      <w:r w:rsidR="00397F4F" w:rsidRPr="00615171">
        <w:rPr>
          <w:rFonts w:asciiTheme="majorBidi" w:hAnsiTheme="majorBidi" w:cstheme="majorBidi"/>
          <w:color w:val="000000" w:themeColor="text1"/>
          <w:sz w:val="24"/>
          <w:szCs w:val="24"/>
        </w:rPr>
        <w:t xml:space="preserve"> to those </w:t>
      </w:r>
      <w:r w:rsidRPr="00615171">
        <w:rPr>
          <w:rFonts w:asciiTheme="majorBidi" w:hAnsiTheme="majorBidi" w:cstheme="majorBidi"/>
          <w:color w:val="000000" w:themeColor="text1"/>
          <w:sz w:val="24"/>
          <w:szCs w:val="24"/>
        </w:rPr>
        <w:t>that</w:t>
      </w:r>
      <w:r w:rsidR="00487490" w:rsidRPr="00615171">
        <w:rPr>
          <w:rFonts w:asciiTheme="majorBidi" w:hAnsiTheme="majorBidi" w:cstheme="majorBidi"/>
          <w:color w:val="000000" w:themeColor="text1"/>
          <w:sz w:val="24"/>
          <w:szCs w:val="24"/>
        </w:rPr>
        <w:t xml:space="preserve"> </w:t>
      </w:r>
      <w:r w:rsidR="00397F4F" w:rsidRPr="00615171">
        <w:rPr>
          <w:rFonts w:asciiTheme="majorBidi" w:hAnsiTheme="majorBidi" w:cstheme="majorBidi"/>
          <w:color w:val="000000" w:themeColor="text1"/>
          <w:sz w:val="24"/>
          <w:szCs w:val="24"/>
        </w:rPr>
        <w:t>are better-off</w:t>
      </w:r>
      <w:r w:rsidR="00F85CED" w:rsidRPr="00615171">
        <w:rPr>
          <w:rFonts w:asciiTheme="majorBidi" w:hAnsiTheme="majorBidi" w:cstheme="majorBidi"/>
          <w:color w:val="000000" w:themeColor="text1"/>
          <w:sz w:val="24"/>
          <w:szCs w:val="24"/>
        </w:rPr>
        <w:t xml:space="preserve"> economically</w:t>
      </w:r>
      <w:r w:rsidR="00487490" w:rsidRPr="00615171">
        <w:rPr>
          <w:rFonts w:asciiTheme="majorBidi" w:hAnsiTheme="majorBidi" w:cstheme="majorBidi"/>
          <w:color w:val="000000" w:themeColor="text1"/>
          <w:sz w:val="24"/>
          <w:szCs w:val="24"/>
        </w:rPr>
        <w:t xml:space="preserve"> (</w:t>
      </w:r>
      <w:r w:rsidR="00376421" w:rsidRPr="00615171">
        <w:rPr>
          <w:rFonts w:asciiTheme="majorBidi" w:hAnsiTheme="majorBidi" w:cstheme="majorBidi"/>
          <w:color w:val="000000" w:themeColor="text1"/>
          <w:sz w:val="24"/>
          <w:szCs w:val="24"/>
        </w:rPr>
        <w:t>Marmot, 2004)</w:t>
      </w:r>
      <w:r w:rsidR="00397F4F" w:rsidRPr="00615171">
        <w:rPr>
          <w:rFonts w:asciiTheme="majorBidi" w:hAnsiTheme="majorBidi" w:cstheme="majorBidi"/>
          <w:color w:val="000000" w:themeColor="text1"/>
          <w:sz w:val="24"/>
          <w:szCs w:val="24"/>
        </w:rPr>
        <w:t xml:space="preserve">.  </w:t>
      </w:r>
      <w:r w:rsidR="00376421" w:rsidRPr="00615171">
        <w:rPr>
          <w:rFonts w:asciiTheme="majorBidi" w:hAnsiTheme="majorBidi" w:cstheme="majorBidi"/>
          <w:color w:val="000000" w:themeColor="text1"/>
          <w:sz w:val="24"/>
          <w:szCs w:val="24"/>
        </w:rPr>
        <w:t xml:space="preserve">People with </w:t>
      </w:r>
      <w:r w:rsidR="00F85CED" w:rsidRPr="00615171">
        <w:rPr>
          <w:rFonts w:asciiTheme="majorBidi" w:hAnsiTheme="majorBidi" w:cstheme="majorBidi"/>
          <w:color w:val="000000" w:themeColor="text1"/>
          <w:sz w:val="24"/>
          <w:szCs w:val="24"/>
        </w:rPr>
        <w:t xml:space="preserve">a </w:t>
      </w:r>
      <w:r w:rsidR="00376421" w:rsidRPr="00615171">
        <w:rPr>
          <w:rFonts w:asciiTheme="majorBidi" w:hAnsiTheme="majorBidi" w:cstheme="majorBidi"/>
          <w:color w:val="000000" w:themeColor="text1"/>
          <w:sz w:val="24"/>
          <w:szCs w:val="24"/>
        </w:rPr>
        <w:t xml:space="preserve">lower SES generally experience poor heath because </w:t>
      </w:r>
      <w:r w:rsidR="00F85CED" w:rsidRPr="00615171">
        <w:rPr>
          <w:rFonts w:asciiTheme="majorBidi" w:hAnsiTheme="majorBidi" w:cstheme="majorBidi"/>
          <w:color w:val="000000" w:themeColor="text1"/>
          <w:sz w:val="24"/>
          <w:szCs w:val="24"/>
        </w:rPr>
        <w:t xml:space="preserve">a </w:t>
      </w:r>
      <w:r w:rsidR="00376421" w:rsidRPr="00615171">
        <w:rPr>
          <w:rFonts w:asciiTheme="majorBidi" w:hAnsiTheme="majorBidi" w:cstheme="majorBidi"/>
          <w:color w:val="000000" w:themeColor="text1"/>
          <w:sz w:val="24"/>
          <w:szCs w:val="24"/>
        </w:rPr>
        <w:t xml:space="preserve">low income </w:t>
      </w:r>
      <w:r w:rsidR="00EB528B" w:rsidRPr="00615171">
        <w:rPr>
          <w:rFonts w:asciiTheme="majorBidi" w:hAnsiTheme="majorBidi" w:cstheme="majorBidi"/>
          <w:color w:val="000000" w:themeColor="text1"/>
          <w:sz w:val="24"/>
          <w:szCs w:val="24"/>
        </w:rPr>
        <w:t>prevent</w:t>
      </w:r>
      <w:r w:rsidR="00376421" w:rsidRPr="00615171">
        <w:rPr>
          <w:rFonts w:asciiTheme="majorBidi" w:hAnsiTheme="majorBidi" w:cstheme="majorBidi"/>
          <w:color w:val="000000" w:themeColor="text1"/>
          <w:sz w:val="24"/>
          <w:szCs w:val="24"/>
        </w:rPr>
        <w:t xml:space="preserve"> them from purchasing quality goods and services</w:t>
      </w:r>
      <w:r w:rsidR="00003A98" w:rsidRPr="00615171">
        <w:rPr>
          <w:rFonts w:asciiTheme="majorBidi" w:hAnsiTheme="majorBidi" w:cstheme="majorBidi"/>
          <w:color w:val="000000" w:themeColor="text1"/>
          <w:sz w:val="24"/>
          <w:szCs w:val="24"/>
        </w:rPr>
        <w:t>, and</w:t>
      </w:r>
      <w:r w:rsidR="00535802" w:rsidRPr="00615171">
        <w:rPr>
          <w:rFonts w:asciiTheme="majorBidi" w:hAnsiTheme="majorBidi" w:cstheme="majorBidi"/>
          <w:color w:val="000000" w:themeColor="text1"/>
          <w:sz w:val="24"/>
          <w:szCs w:val="24"/>
        </w:rPr>
        <w:t xml:space="preserve"> force</w:t>
      </w:r>
      <w:r w:rsidR="00F85CED" w:rsidRPr="00615171">
        <w:rPr>
          <w:rFonts w:asciiTheme="majorBidi" w:hAnsiTheme="majorBidi" w:cstheme="majorBidi"/>
          <w:color w:val="000000" w:themeColor="text1"/>
          <w:sz w:val="24"/>
          <w:szCs w:val="24"/>
        </w:rPr>
        <w:t xml:space="preserve"> them with </w:t>
      </w:r>
      <w:r w:rsidR="00376421" w:rsidRPr="00615171">
        <w:rPr>
          <w:rFonts w:asciiTheme="majorBidi" w:hAnsiTheme="majorBidi" w:cstheme="majorBidi"/>
          <w:color w:val="000000" w:themeColor="text1"/>
          <w:sz w:val="24"/>
          <w:szCs w:val="24"/>
        </w:rPr>
        <w:t>unhealthy cheaper</w:t>
      </w:r>
      <w:r w:rsidR="00F85CED" w:rsidRPr="00615171">
        <w:rPr>
          <w:rFonts w:asciiTheme="majorBidi" w:hAnsiTheme="majorBidi" w:cstheme="majorBidi"/>
          <w:color w:val="000000" w:themeColor="text1"/>
          <w:sz w:val="24"/>
          <w:szCs w:val="24"/>
        </w:rPr>
        <w:t xml:space="preserve"> options</w:t>
      </w:r>
      <w:r w:rsidR="00263687" w:rsidRPr="00615171">
        <w:rPr>
          <w:rFonts w:asciiTheme="majorBidi" w:hAnsiTheme="majorBidi" w:cstheme="majorBidi"/>
          <w:color w:val="000000" w:themeColor="text1"/>
          <w:sz w:val="24"/>
          <w:szCs w:val="24"/>
        </w:rPr>
        <w:t>.</w:t>
      </w:r>
      <w:r w:rsidR="00834750" w:rsidRPr="00615171">
        <w:rPr>
          <w:rFonts w:asciiTheme="majorBidi" w:hAnsiTheme="majorBidi" w:cstheme="majorBidi"/>
          <w:color w:val="000000" w:themeColor="text1"/>
          <w:sz w:val="24"/>
          <w:szCs w:val="24"/>
        </w:rPr>
        <w:t xml:space="preserve"> </w:t>
      </w:r>
      <w:r w:rsidR="00F85CED" w:rsidRPr="00615171">
        <w:rPr>
          <w:rFonts w:asciiTheme="majorBidi" w:hAnsiTheme="majorBidi" w:cstheme="majorBidi"/>
          <w:color w:val="000000" w:themeColor="text1"/>
          <w:sz w:val="24"/>
          <w:szCs w:val="24"/>
        </w:rPr>
        <w:t>The</w:t>
      </w:r>
      <w:r w:rsidR="00A45FD1" w:rsidRPr="00615171">
        <w:rPr>
          <w:rFonts w:asciiTheme="majorBidi" w:hAnsiTheme="majorBidi" w:cstheme="majorBidi"/>
          <w:color w:val="000000" w:themeColor="text1"/>
          <w:sz w:val="24"/>
          <w:szCs w:val="24"/>
        </w:rPr>
        <w:t xml:space="preserve"> Great Britain</w:t>
      </w:r>
      <w:r w:rsidR="00F85CED" w:rsidRPr="00615171">
        <w:rPr>
          <w:rFonts w:asciiTheme="majorBidi" w:hAnsiTheme="majorBidi" w:cstheme="majorBidi"/>
          <w:color w:val="000000" w:themeColor="text1"/>
          <w:sz w:val="24"/>
          <w:szCs w:val="24"/>
        </w:rPr>
        <w:t xml:space="preserve"> </w:t>
      </w:r>
      <w:r w:rsidR="00A45FD1" w:rsidRPr="00615171">
        <w:rPr>
          <w:rFonts w:asciiTheme="majorBidi" w:hAnsiTheme="majorBidi" w:cstheme="majorBidi"/>
          <w:color w:val="000000" w:themeColor="text1"/>
          <w:sz w:val="24"/>
          <w:szCs w:val="24"/>
        </w:rPr>
        <w:t xml:space="preserve">General Household Survey 2001 </w:t>
      </w:r>
      <w:r w:rsidR="00FB15A8" w:rsidRPr="00615171">
        <w:rPr>
          <w:rFonts w:asciiTheme="majorBidi" w:hAnsiTheme="majorBidi" w:cstheme="majorBidi"/>
          <w:color w:val="000000" w:themeColor="text1"/>
          <w:sz w:val="24"/>
          <w:szCs w:val="24"/>
        </w:rPr>
        <w:t>shows</w:t>
      </w:r>
      <w:r w:rsidR="00A45FD1" w:rsidRPr="00615171">
        <w:rPr>
          <w:rFonts w:asciiTheme="majorBidi" w:hAnsiTheme="majorBidi" w:cstheme="majorBidi"/>
          <w:color w:val="000000" w:themeColor="text1"/>
          <w:sz w:val="24"/>
          <w:szCs w:val="24"/>
        </w:rPr>
        <w:t xml:space="preserve"> that</w:t>
      </w:r>
      <w:r w:rsidR="005D1377" w:rsidRPr="00615171">
        <w:rPr>
          <w:rFonts w:asciiTheme="majorBidi" w:hAnsiTheme="majorBidi" w:cstheme="majorBidi"/>
          <w:color w:val="000000" w:themeColor="text1"/>
          <w:sz w:val="24"/>
          <w:szCs w:val="24"/>
        </w:rPr>
        <w:t xml:space="preserve"> for the people aged 50 and over</w:t>
      </w:r>
      <w:r w:rsidR="00AA2787" w:rsidRPr="00615171">
        <w:rPr>
          <w:rFonts w:asciiTheme="majorBidi" w:hAnsiTheme="majorBidi" w:cstheme="majorBidi"/>
          <w:color w:val="000000" w:themeColor="text1"/>
          <w:sz w:val="24"/>
          <w:szCs w:val="24"/>
        </w:rPr>
        <w:t>,</w:t>
      </w:r>
      <w:r w:rsidR="00A45FD1" w:rsidRPr="00615171">
        <w:rPr>
          <w:rFonts w:asciiTheme="majorBidi" w:hAnsiTheme="majorBidi" w:cstheme="majorBidi"/>
          <w:color w:val="000000" w:themeColor="text1"/>
          <w:sz w:val="24"/>
          <w:szCs w:val="24"/>
        </w:rPr>
        <w:t xml:space="preserve"> there </w:t>
      </w:r>
      <w:r w:rsidR="00AA2787" w:rsidRPr="00615171">
        <w:rPr>
          <w:rFonts w:asciiTheme="majorBidi" w:hAnsiTheme="majorBidi" w:cstheme="majorBidi"/>
          <w:color w:val="000000" w:themeColor="text1"/>
          <w:sz w:val="24"/>
          <w:szCs w:val="24"/>
        </w:rPr>
        <w:t>is</w:t>
      </w:r>
      <w:r w:rsidR="005D1377" w:rsidRPr="00615171">
        <w:rPr>
          <w:rFonts w:asciiTheme="majorBidi" w:hAnsiTheme="majorBidi" w:cstheme="majorBidi"/>
          <w:color w:val="000000" w:themeColor="text1"/>
          <w:sz w:val="24"/>
          <w:szCs w:val="24"/>
        </w:rPr>
        <w:t xml:space="preserve"> a</w:t>
      </w:r>
      <w:r w:rsidR="00F85CED" w:rsidRPr="00615171">
        <w:rPr>
          <w:rFonts w:asciiTheme="majorBidi" w:hAnsiTheme="majorBidi" w:cstheme="majorBidi"/>
          <w:color w:val="000000" w:themeColor="text1"/>
          <w:sz w:val="24"/>
          <w:szCs w:val="24"/>
        </w:rPr>
        <w:t xml:space="preserve"> </w:t>
      </w:r>
      <w:r w:rsidR="00A45FD1" w:rsidRPr="00615171">
        <w:rPr>
          <w:rFonts w:asciiTheme="majorBidi" w:hAnsiTheme="majorBidi" w:cstheme="majorBidi"/>
          <w:color w:val="000000" w:themeColor="text1"/>
          <w:sz w:val="24"/>
          <w:szCs w:val="24"/>
        </w:rPr>
        <w:t xml:space="preserve">significant inequality </w:t>
      </w:r>
      <w:r w:rsidR="005D1377" w:rsidRPr="00615171">
        <w:rPr>
          <w:rFonts w:asciiTheme="majorBidi" w:hAnsiTheme="majorBidi" w:cstheme="majorBidi"/>
          <w:color w:val="000000" w:themeColor="text1"/>
          <w:sz w:val="24"/>
          <w:szCs w:val="24"/>
        </w:rPr>
        <w:t xml:space="preserve">in </w:t>
      </w:r>
      <w:r w:rsidR="00A45FD1" w:rsidRPr="00615171">
        <w:rPr>
          <w:rFonts w:asciiTheme="majorBidi" w:hAnsiTheme="majorBidi" w:cstheme="majorBidi"/>
          <w:color w:val="000000" w:themeColor="text1"/>
          <w:sz w:val="24"/>
          <w:szCs w:val="24"/>
        </w:rPr>
        <w:t>reporting long</w:t>
      </w:r>
      <w:r w:rsidR="0019291A" w:rsidRPr="00615171">
        <w:rPr>
          <w:rFonts w:asciiTheme="majorBidi" w:hAnsiTheme="majorBidi" w:cstheme="majorBidi"/>
          <w:color w:val="000000" w:themeColor="text1"/>
          <w:sz w:val="24"/>
          <w:szCs w:val="24"/>
        </w:rPr>
        <w:t xml:space="preserve"> standing </w:t>
      </w:r>
      <w:r w:rsidR="00A45FD1" w:rsidRPr="00615171">
        <w:rPr>
          <w:rFonts w:asciiTheme="majorBidi" w:hAnsiTheme="majorBidi" w:cstheme="majorBidi"/>
          <w:color w:val="000000" w:themeColor="text1"/>
          <w:sz w:val="24"/>
          <w:szCs w:val="24"/>
        </w:rPr>
        <w:t>illness</w:t>
      </w:r>
      <w:r w:rsidR="005D1377" w:rsidRPr="00615171">
        <w:rPr>
          <w:rFonts w:asciiTheme="majorBidi" w:hAnsiTheme="majorBidi" w:cstheme="majorBidi"/>
          <w:color w:val="000000" w:themeColor="text1"/>
          <w:sz w:val="24"/>
          <w:szCs w:val="24"/>
        </w:rPr>
        <w:t xml:space="preserve"> </w:t>
      </w:r>
      <w:r w:rsidR="00A45FD1" w:rsidRPr="00615171">
        <w:rPr>
          <w:rFonts w:asciiTheme="majorBidi" w:hAnsiTheme="majorBidi" w:cstheme="majorBidi"/>
          <w:color w:val="000000" w:themeColor="text1"/>
          <w:sz w:val="24"/>
          <w:szCs w:val="24"/>
        </w:rPr>
        <w:t xml:space="preserve">between the top and bottom quintiles of equivalent household income. </w:t>
      </w:r>
      <w:r w:rsidR="00F85CED" w:rsidRPr="00615171">
        <w:rPr>
          <w:rFonts w:asciiTheme="majorBidi" w:hAnsiTheme="majorBidi" w:cstheme="majorBidi"/>
          <w:color w:val="000000" w:themeColor="text1"/>
          <w:sz w:val="24"/>
          <w:szCs w:val="24"/>
        </w:rPr>
        <w:t>P</w:t>
      </w:r>
      <w:r w:rsidR="00A45FD1" w:rsidRPr="00615171">
        <w:rPr>
          <w:rFonts w:asciiTheme="majorBidi" w:hAnsiTheme="majorBidi" w:cstheme="majorBidi"/>
          <w:color w:val="000000" w:themeColor="text1"/>
          <w:sz w:val="24"/>
          <w:szCs w:val="24"/>
        </w:rPr>
        <w:t xml:space="preserve">eople </w:t>
      </w:r>
      <w:r w:rsidR="00F85CED" w:rsidRPr="00615171">
        <w:rPr>
          <w:rFonts w:asciiTheme="majorBidi" w:hAnsiTheme="majorBidi" w:cstheme="majorBidi"/>
          <w:color w:val="000000" w:themeColor="text1"/>
          <w:sz w:val="24"/>
          <w:szCs w:val="24"/>
        </w:rPr>
        <w:t>in</w:t>
      </w:r>
      <w:r w:rsidR="00A45FD1" w:rsidRPr="00615171">
        <w:rPr>
          <w:rFonts w:asciiTheme="majorBidi" w:hAnsiTheme="majorBidi" w:cstheme="majorBidi"/>
          <w:color w:val="000000" w:themeColor="text1"/>
          <w:sz w:val="24"/>
          <w:szCs w:val="24"/>
        </w:rPr>
        <w:t xml:space="preserve"> the highest income group experience</w:t>
      </w:r>
      <w:r w:rsidR="00041B52" w:rsidRPr="00615171">
        <w:rPr>
          <w:rFonts w:asciiTheme="majorBidi" w:hAnsiTheme="majorBidi" w:cstheme="majorBidi"/>
          <w:color w:val="000000" w:themeColor="text1"/>
          <w:sz w:val="24"/>
          <w:szCs w:val="24"/>
        </w:rPr>
        <w:t>d</w:t>
      </w:r>
      <w:r w:rsidR="00DA3B44" w:rsidRPr="00615171">
        <w:rPr>
          <w:rFonts w:asciiTheme="majorBidi" w:hAnsiTheme="majorBidi" w:cstheme="majorBidi"/>
          <w:color w:val="000000" w:themeColor="text1"/>
          <w:sz w:val="24"/>
          <w:szCs w:val="24"/>
        </w:rPr>
        <w:t xml:space="preserve"> </w:t>
      </w:r>
      <w:r w:rsidR="00F85CED" w:rsidRPr="00615171">
        <w:rPr>
          <w:rFonts w:asciiTheme="majorBidi" w:hAnsiTheme="majorBidi" w:cstheme="majorBidi"/>
          <w:color w:val="000000" w:themeColor="text1"/>
          <w:sz w:val="24"/>
          <w:szCs w:val="24"/>
        </w:rPr>
        <w:t xml:space="preserve">a </w:t>
      </w:r>
      <w:r w:rsidR="00DA3B44" w:rsidRPr="00615171">
        <w:rPr>
          <w:rFonts w:asciiTheme="majorBidi" w:hAnsiTheme="majorBidi" w:cstheme="majorBidi"/>
          <w:color w:val="000000" w:themeColor="text1"/>
          <w:sz w:val="24"/>
          <w:szCs w:val="24"/>
        </w:rPr>
        <w:t>lower percentage of reporting a long-term illness compare</w:t>
      </w:r>
      <w:r w:rsidR="00F85CED" w:rsidRPr="00615171">
        <w:rPr>
          <w:rFonts w:asciiTheme="majorBidi" w:hAnsiTheme="majorBidi" w:cstheme="majorBidi"/>
          <w:color w:val="000000" w:themeColor="text1"/>
          <w:sz w:val="24"/>
          <w:szCs w:val="24"/>
        </w:rPr>
        <w:t>d</w:t>
      </w:r>
      <w:r w:rsidR="00DA3B44" w:rsidRPr="00615171">
        <w:rPr>
          <w:rFonts w:asciiTheme="majorBidi" w:hAnsiTheme="majorBidi" w:cstheme="majorBidi"/>
          <w:color w:val="000000" w:themeColor="text1"/>
          <w:sz w:val="24"/>
          <w:szCs w:val="24"/>
        </w:rPr>
        <w:t xml:space="preserve"> to t</w:t>
      </w:r>
      <w:r w:rsidR="00F91805" w:rsidRPr="00615171">
        <w:rPr>
          <w:rFonts w:asciiTheme="majorBidi" w:hAnsiTheme="majorBidi" w:cstheme="majorBidi"/>
          <w:color w:val="000000" w:themeColor="text1"/>
          <w:sz w:val="24"/>
          <w:szCs w:val="24"/>
        </w:rPr>
        <w:t xml:space="preserve">hose </w:t>
      </w:r>
      <w:r w:rsidR="00677EED" w:rsidRPr="00615171">
        <w:rPr>
          <w:rFonts w:asciiTheme="majorBidi" w:hAnsiTheme="majorBidi" w:cstheme="majorBidi"/>
          <w:color w:val="000000" w:themeColor="text1"/>
          <w:sz w:val="24"/>
          <w:szCs w:val="24"/>
        </w:rPr>
        <w:t>in</w:t>
      </w:r>
      <w:r w:rsidR="00F91805" w:rsidRPr="00615171">
        <w:rPr>
          <w:rFonts w:asciiTheme="majorBidi" w:hAnsiTheme="majorBidi" w:cstheme="majorBidi"/>
          <w:color w:val="000000" w:themeColor="text1"/>
          <w:sz w:val="24"/>
          <w:szCs w:val="24"/>
        </w:rPr>
        <w:t xml:space="preserve"> the lowest income group</w:t>
      </w:r>
      <w:r w:rsidR="00DA3B44" w:rsidRPr="00615171">
        <w:rPr>
          <w:rFonts w:asciiTheme="majorBidi" w:hAnsiTheme="majorBidi" w:cstheme="majorBidi"/>
          <w:color w:val="000000" w:themeColor="text1"/>
          <w:sz w:val="24"/>
          <w:szCs w:val="24"/>
        </w:rPr>
        <w:t xml:space="preserve"> </w:t>
      </w:r>
      <w:r w:rsidR="00677EED" w:rsidRPr="00615171">
        <w:rPr>
          <w:rFonts w:asciiTheme="majorBidi" w:hAnsiTheme="majorBidi" w:cstheme="majorBidi"/>
          <w:color w:val="000000" w:themeColor="text1"/>
          <w:sz w:val="24"/>
          <w:szCs w:val="24"/>
        </w:rPr>
        <w:t>for</w:t>
      </w:r>
      <w:r w:rsidR="00F91805" w:rsidRPr="00615171">
        <w:rPr>
          <w:rFonts w:asciiTheme="majorBidi" w:hAnsiTheme="majorBidi" w:cstheme="majorBidi"/>
          <w:color w:val="000000" w:themeColor="text1"/>
          <w:sz w:val="24"/>
          <w:szCs w:val="24"/>
        </w:rPr>
        <w:t xml:space="preserve"> all age groups</w:t>
      </w:r>
      <w:r w:rsidR="00041B52" w:rsidRPr="00615171">
        <w:rPr>
          <w:rFonts w:asciiTheme="majorBidi" w:hAnsiTheme="majorBidi" w:cstheme="majorBidi"/>
          <w:color w:val="000000" w:themeColor="text1"/>
          <w:sz w:val="24"/>
          <w:szCs w:val="24"/>
        </w:rPr>
        <w:t xml:space="preserve"> in the UK in 2001/02</w:t>
      </w:r>
      <w:r w:rsidR="00847D95" w:rsidRPr="00615171">
        <w:rPr>
          <w:rFonts w:asciiTheme="majorBidi" w:hAnsiTheme="majorBidi" w:cstheme="majorBidi"/>
          <w:color w:val="000000" w:themeColor="text1"/>
          <w:sz w:val="24"/>
          <w:szCs w:val="24"/>
        </w:rPr>
        <w:t xml:space="preserve"> (Figure 2</w:t>
      </w:r>
      <w:r w:rsidR="00935DC6" w:rsidRPr="00615171">
        <w:rPr>
          <w:rFonts w:asciiTheme="majorBidi" w:hAnsiTheme="majorBidi" w:cstheme="majorBidi"/>
          <w:color w:val="000000" w:themeColor="text1"/>
          <w:sz w:val="24"/>
          <w:szCs w:val="24"/>
        </w:rPr>
        <w:t>). These</w:t>
      </w:r>
      <w:r w:rsidR="00DA3B44" w:rsidRPr="00615171">
        <w:rPr>
          <w:rFonts w:asciiTheme="majorBidi" w:hAnsiTheme="majorBidi" w:cstheme="majorBidi"/>
          <w:color w:val="000000" w:themeColor="text1"/>
          <w:sz w:val="24"/>
          <w:szCs w:val="24"/>
        </w:rPr>
        <w:t xml:space="preserve"> </w:t>
      </w:r>
      <w:r w:rsidR="00935DC6" w:rsidRPr="00615171">
        <w:rPr>
          <w:rFonts w:asciiTheme="majorBidi" w:hAnsiTheme="majorBidi" w:cstheme="majorBidi"/>
          <w:color w:val="000000" w:themeColor="text1"/>
          <w:sz w:val="24"/>
          <w:szCs w:val="24"/>
        </w:rPr>
        <w:t>inequalities were</w:t>
      </w:r>
      <w:r w:rsidR="00DA3B44" w:rsidRPr="00615171">
        <w:rPr>
          <w:rFonts w:asciiTheme="majorBidi" w:hAnsiTheme="majorBidi" w:cstheme="majorBidi"/>
          <w:color w:val="000000" w:themeColor="text1"/>
          <w:sz w:val="24"/>
          <w:szCs w:val="24"/>
        </w:rPr>
        <w:t xml:space="preserve"> s</w:t>
      </w:r>
      <w:r w:rsidR="005E3A70" w:rsidRPr="00615171">
        <w:rPr>
          <w:rFonts w:asciiTheme="majorBidi" w:hAnsiTheme="majorBidi" w:cstheme="majorBidi"/>
          <w:color w:val="000000" w:themeColor="text1"/>
          <w:sz w:val="24"/>
          <w:szCs w:val="24"/>
        </w:rPr>
        <w:t>teepest among those</w:t>
      </w:r>
      <w:r w:rsidR="00677EED" w:rsidRPr="00615171">
        <w:rPr>
          <w:rFonts w:asciiTheme="majorBidi" w:hAnsiTheme="majorBidi" w:cstheme="majorBidi"/>
          <w:color w:val="000000" w:themeColor="text1"/>
          <w:sz w:val="24"/>
          <w:szCs w:val="24"/>
        </w:rPr>
        <w:t xml:space="preserve"> aged </w:t>
      </w:r>
      <w:r w:rsidR="00935DC6" w:rsidRPr="00615171">
        <w:rPr>
          <w:rFonts w:asciiTheme="majorBidi" w:hAnsiTheme="majorBidi" w:cstheme="majorBidi"/>
          <w:color w:val="000000" w:themeColor="text1"/>
          <w:sz w:val="24"/>
          <w:szCs w:val="24"/>
        </w:rPr>
        <w:t>50-59 and</w:t>
      </w:r>
      <w:r w:rsidR="00DA3B44" w:rsidRPr="00615171">
        <w:rPr>
          <w:rFonts w:asciiTheme="majorBidi" w:hAnsiTheme="majorBidi" w:cstheme="majorBidi"/>
          <w:color w:val="000000" w:themeColor="text1"/>
          <w:sz w:val="24"/>
          <w:szCs w:val="24"/>
        </w:rPr>
        <w:t xml:space="preserve"> narrowest among </w:t>
      </w:r>
      <w:r w:rsidR="00847D95" w:rsidRPr="00615171">
        <w:rPr>
          <w:rFonts w:asciiTheme="majorBidi" w:hAnsiTheme="majorBidi" w:cstheme="majorBidi"/>
          <w:color w:val="000000" w:themeColor="text1"/>
          <w:sz w:val="24"/>
          <w:szCs w:val="24"/>
        </w:rPr>
        <w:t xml:space="preserve">those </w:t>
      </w:r>
      <w:r w:rsidR="00F91805" w:rsidRPr="00615171">
        <w:rPr>
          <w:rFonts w:asciiTheme="majorBidi" w:hAnsiTheme="majorBidi" w:cstheme="majorBidi"/>
          <w:color w:val="000000" w:themeColor="text1"/>
          <w:sz w:val="24"/>
          <w:szCs w:val="24"/>
        </w:rPr>
        <w:t>age</w:t>
      </w:r>
      <w:r w:rsidR="00CB43A2" w:rsidRPr="00615171">
        <w:rPr>
          <w:rFonts w:asciiTheme="majorBidi" w:hAnsiTheme="majorBidi" w:cstheme="majorBidi"/>
          <w:color w:val="000000" w:themeColor="text1"/>
          <w:sz w:val="24"/>
          <w:szCs w:val="24"/>
        </w:rPr>
        <w:t>d</w:t>
      </w:r>
      <w:r w:rsidR="00DA3B44" w:rsidRPr="00615171">
        <w:rPr>
          <w:rFonts w:asciiTheme="majorBidi" w:hAnsiTheme="majorBidi" w:cstheme="majorBidi"/>
          <w:color w:val="000000" w:themeColor="text1"/>
          <w:sz w:val="24"/>
          <w:szCs w:val="24"/>
        </w:rPr>
        <w:t xml:space="preserve"> 75 and over.</w:t>
      </w:r>
    </w:p>
    <w:p w14:paraId="06B65401" w14:textId="7DC08121" w:rsidR="00E56164" w:rsidRDefault="00E56164">
      <w:pP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br w:type="page"/>
      </w:r>
    </w:p>
    <w:p w14:paraId="5D26D9D4" w14:textId="77777777" w:rsidR="00DB4510" w:rsidRPr="00615171" w:rsidRDefault="00DB4510" w:rsidP="009A687E">
      <w:pPr>
        <w:spacing w:after="0" w:line="240" w:lineRule="auto"/>
        <w:jc w:val="both"/>
        <w:rPr>
          <w:rFonts w:asciiTheme="majorBidi" w:hAnsiTheme="majorBidi" w:cstheme="majorBidi"/>
          <w:b/>
          <w:color w:val="000000" w:themeColor="text1"/>
          <w:sz w:val="24"/>
          <w:szCs w:val="24"/>
        </w:rPr>
      </w:pPr>
    </w:p>
    <w:p w14:paraId="7BB892C2" w14:textId="2D34BF75" w:rsidR="006063C1" w:rsidRPr="00615171" w:rsidRDefault="00847D95" w:rsidP="00623739">
      <w:pPr>
        <w:spacing w:after="0" w:line="240" w:lineRule="auto"/>
        <w:ind w:left="1008" w:hanging="1008"/>
        <w:jc w:val="both"/>
        <w:rPr>
          <w:rFonts w:asciiTheme="majorBidi" w:hAnsiTheme="majorBidi" w:cstheme="majorBidi"/>
          <w:color w:val="000000" w:themeColor="text1"/>
          <w:sz w:val="24"/>
          <w:szCs w:val="24"/>
        </w:rPr>
      </w:pPr>
      <w:r w:rsidRPr="00615171">
        <w:rPr>
          <w:rFonts w:asciiTheme="majorBidi" w:hAnsiTheme="majorBidi" w:cstheme="majorBidi"/>
          <w:b/>
          <w:color w:val="000000" w:themeColor="text1"/>
          <w:sz w:val="24"/>
          <w:szCs w:val="24"/>
        </w:rPr>
        <w:t>Figure 2</w:t>
      </w:r>
      <w:r w:rsidR="00946868" w:rsidRPr="00615171">
        <w:rPr>
          <w:rFonts w:asciiTheme="majorBidi" w:hAnsiTheme="majorBidi" w:cstheme="majorBidi"/>
          <w:b/>
          <w:color w:val="000000" w:themeColor="text1"/>
          <w:sz w:val="24"/>
          <w:szCs w:val="24"/>
        </w:rPr>
        <w:t>:</w:t>
      </w:r>
      <w:r w:rsidR="00946868" w:rsidRPr="00615171">
        <w:rPr>
          <w:rFonts w:asciiTheme="majorBidi" w:hAnsiTheme="majorBidi" w:cstheme="majorBidi"/>
          <w:color w:val="000000" w:themeColor="text1"/>
          <w:sz w:val="24"/>
          <w:szCs w:val="24"/>
        </w:rPr>
        <w:t xml:space="preserve"> </w:t>
      </w:r>
      <w:r w:rsidR="0059361F" w:rsidRPr="00615171">
        <w:rPr>
          <w:rFonts w:asciiTheme="majorBidi" w:hAnsiTheme="majorBidi" w:cstheme="majorBidi"/>
          <w:color w:val="000000" w:themeColor="text1"/>
          <w:sz w:val="24"/>
          <w:szCs w:val="24"/>
        </w:rPr>
        <w:t>Percentage of people aged 50 and over reporting a limiting long-term illness in the top and bottom quintiles of equivalent gross household income, 2001/02</w:t>
      </w:r>
      <w:r w:rsidR="005A6471" w:rsidRPr="00615171">
        <w:rPr>
          <w:rFonts w:asciiTheme="majorBidi" w:hAnsiTheme="majorBidi" w:cstheme="majorBidi"/>
          <w:color w:val="000000" w:themeColor="text1"/>
          <w:sz w:val="24"/>
          <w:szCs w:val="24"/>
        </w:rPr>
        <w:t>.</w:t>
      </w:r>
      <w:r w:rsidR="00B01947" w:rsidRPr="00615171">
        <w:rPr>
          <w:rFonts w:asciiTheme="majorBidi" w:hAnsiTheme="majorBidi" w:cstheme="majorBidi"/>
          <w:color w:val="000000" w:themeColor="text1"/>
          <w:sz w:val="24"/>
          <w:szCs w:val="24"/>
        </w:rPr>
        <w:t xml:space="preserve"> </w:t>
      </w:r>
    </w:p>
    <w:p w14:paraId="72E321EC" w14:textId="77777777" w:rsidR="0090189C" w:rsidRPr="00615171" w:rsidRDefault="0090189C" w:rsidP="00623739">
      <w:pPr>
        <w:spacing w:after="0" w:line="240" w:lineRule="auto"/>
        <w:jc w:val="both"/>
        <w:rPr>
          <w:rFonts w:asciiTheme="majorBidi" w:hAnsiTheme="majorBidi" w:cstheme="majorBidi"/>
          <w:color w:val="000000" w:themeColor="text1"/>
          <w:sz w:val="24"/>
          <w:szCs w:val="24"/>
        </w:rPr>
      </w:pPr>
    </w:p>
    <w:p w14:paraId="0E9947E9" w14:textId="77777777" w:rsidR="0090189C" w:rsidRPr="00615171" w:rsidRDefault="00946868" w:rsidP="009A687E">
      <w:pPr>
        <w:spacing w:after="0" w:line="240" w:lineRule="auto"/>
        <w:jc w:val="center"/>
        <w:rPr>
          <w:rFonts w:asciiTheme="majorBidi" w:hAnsiTheme="majorBidi" w:cstheme="majorBidi"/>
          <w:color w:val="000000" w:themeColor="text1"/>
          <w:sz w:val="24"/>
          <w:szCs w:val="24"/>
        </w:rPr>
      </w:pPr>
      <w:r w:rsidRPr="00615171">
        <w:rPr>
          <w:rFonts w:asciiTheme="majorBidi" w:hAnsiTheme="majorBidi" w:cstheme="majorBidi"/>
          <w:noProof/>
          <w:color w:val="000000" w:themeColor="text1"/>
          <w:sz w:val="24"/>
          <w:szCs w:val="24"/>
          <w:lang w:val="en-GB" w:eastAsia="zh-CN"/>
        </w:rPr>
        <w:drawing>
          <wp:inline distT="0" distB="0" distL="0" distR="0" wp14:anchorId="5063A765" wp14:editId="1A199F37">
            <wp:extent cx="4289339" cy="2587935"/>
            <wp:effectExtent l="19050" t="19050" r="15961" b="219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291277" cy="2589104"/>
                    </a:xfrm>
                    <a:prstGeom prst="rect">
                      <a:avLst/>
                    </a:prstGeom>
                    <a:noFill/>
                    <a:ln w="9525">
                      <a:solidFill>
                        <a:schemeClr val="tx1"/>
                      </a:solidFill>
                      <a:miter lim="800000"/>
                      <a:headEnd/>
                      <a:tailEnd/>
                    </a:ln>
                  </pic:spPr>
                </pic:pic>
              </a:graphicData>
            </a:graphic>
          </wp:inline>
        </w:drawing>
      </w:r>
    </w:p>
    <w:p w14:paraId="29685BC9" w14:textId="77777777" w:rsidR="0090189C" w:rsidRPr="00615171" w:rsidRDefault="00C4586D" w:rsidP="00623739">
      <w:pPr>
        <w:spacing w:after="0" w:line="240" w:lineRule="auto"/>
        <w:ind w:left="720" w:firstLine="720"/>
        <w:jc w:val="both"/>
        <w:rPr>
          <w:rFonts w:asciiTheme="majorBidi" w:hAnsiTheme="majorBidi" w:cstheme="majorBidi"/>
          <w:i/>
          <w:iCs/>
          <w:color w:val="000000" w:themeColor="text1"/>
          <w:sz w:val="24"/>
          <w:szCs w:val="24"/>
        </w:rPr>
      </w:pPr>
      <w:r w:rsidRPr="00615171">
        <w:rPr>
          <w:rFonts w:asciiTheme="majorBidi" w:hAnsiTheme="majorBidi" w:cstheme="majorBidi"/>
          <w:i/>
          <w:iCs/>
          <w:color w:val="000000" w:themeColor="text1"/>
          <w:sz w:val="24"/>
          <w:szCs w:val="24"/>
        </w:rPr>
        <w:t xml:space="preserve">Source: </w:t>
      </w:r>
      <w:proofErr w:type="spellStart"/>
      <w:r w:rsidRPr="00615171">
        <w:rPr>
          <w:rFonts w:asciiTheme="majorBidi" w:hAnsiTheme="majorBidi" w:cstheme="majorBidi"/>
          <w:i/>
          <w:iCs/>
          <w:color w:val="000000" w:themeColor="text1"/>
          <w:sz w:val="24"/>
          <w:szCs w:val="24"/>
        </w:rPr>
        <w:t>Evandrou</w:t>
      </w:r>
      <w:proofErr w:type="spellEnd"/>
      <w:r w:rsidRPr="00615171">
        <w:rPr>
          <w:rFonts w:asciiTheme="majorBidi" w:hAnsiTheme="majorBidi" w:cstheme="majorBidi"/>
          <w:i/>
          <w:iCs/>
          <w:color w:val="000000" w:themeColor="text1"/>
          <w:sz w:val="24"/>
          <w:szCs w:val="24"/>
        </w:rPr>
        <w:t xml:space="preserve"> (2005)</w:t>
      </w:r>
    </w:p>
    <w:p w14:paraId="2395F2F5" w14:textId="77777777" w:rsidR="00DB4510" w:rsidRPr="00615171" w:rsidRDefault="00DB4510" w:rsidP="00623739">
      <w:pPr>
        <w:spacing w:after="0" w:line="240" w:lineRule="auto"/>
        <w:jc w:val="both"/>
        <w:rPr>
          <w:rFonts w:asciiTheme="majorBidi" w:hAnsiTheme="majorBidi" w:cstheme="majorBidi"/>
          <w:color w:val="000000" w:themeColor="text1"/>
          <w:sz w:val="24"/>
          <w:szCs w:val="24"/>
        </w:rPr>
      </w:pPr>
    </w:p>
    <w:p w14:paraId="4A9658AD" w14:textId="5EC9419C" w:rsidR="00F60B1B" w:rsidRPr="00615171" w:rsidRDefault="000570C4" w:rsidP="00012791">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T</w:t>
      </w:r>
      <w:r w:rsidR="00713010" w:rsidRPr="00615171">
        <w:rPr>
          <w:rFonts w:asciiTheme="majorBidi" w:hAnsiTheme="majorBidi" w:cstheme="majorBidi"/>
          <w:color w:val="000000" w:themeColor="text1"/>
          <w:sz w:val="24"/>
          <w:szCs w:val="24"/>
        </w:rPr>
        <w:t>his</w:t>
      </w:r>
      <w:r w:rsidRPr="00615171">
        <w:rPr>
          <w:rFonts w:asciiTheme="majorBidi" w:hAnsiTheme="majorBidi" w:cstheme="majorBidi"/>
          <w:color w:val="000000" w:themeColor="text1"/>
          <w:sz w:val="24"/>
          <w:szCs w:val="24"/>
        </w:rPr>
        <w:t xml:space="preserve"> relationship can </w:t>
      </w:r>
      <w:r w:rsidR="00713010" w:rsidRPr="00615171">
        <w:rPr>
          <w:rFonts w:asciiTheme="majorBidi" w:hAnsiTheme="majorBidi" w:cstheme="majorBidi"/>
          <w:color w:val="000000" w:themeColor="text1"/>
          <w:sz w:val="24"/>
          <w:szCs w:val="24"/>
        </w:rPr>
        <w:t>work in</w:t>
      </w:r>
      <w:r w:rsidRPr="00615171">
        <w:rPr>
          <w:rFonts w:asciiTheme="majorBidi" w:hAnsiTheme="majorBidi" w:cstheme="majorBidi"/>
          <w:color w:val="000000" w:themeColor="text1"/>
          <w:sz w:val="24"/>
          <w:szCs w:val="24"/>
        </w:rPr>
        <w:t xml:space="preserve"> the reverse direction particular</w:t>
      </w:r>
      <w:r w:rsidR="00713010" w:rsidRPr="00615171">
        <w:rPr>
          <w:rFonts w:asciiTheme="majorBidi" w:hAnsiTheme="majorBidi" w:cstheme="majorBidi"/>
          <w:color w:val="000000" w:themeColor="text1"/>
          <w:sz w:val="24"/>
          <w:szCs w:val="24"/>
        </w:rPr>
        <w:t>ly</w:t>
      </w:r>
      <w:r w:rsidRPr="00615171">
        <w:rPr>
          <w:rFonts w:asciiTheme="majorBidi" w:hAnsiTheme="majorBidi" w:cstheme="majorBidi"/>
          <w:color w:val="000000" w:themeColor="text1"/>
          <w:sz w:val="24"/>
          <w:szCs w:val="24"/>
        </w:rPr>
        <w:t xml:space="preserve"> for </w:t>
      </w:r>
      <w:r w:rsidR="00347A45" w:rsidRPr="00615171">
        <w:rPr>
          <w:rFonts w:asciiTheme="majorBidi" w:hAnsiTheme="majorBidi" w:cstheme="majorBidi"/>
          <w:color w:val="000000" w:themeColor="text1"/>
          <w:sz w:val="24"/>
          <w:szCs w:val="24"/>
        </w:rPr>
        <w:t>older people</w:t>
      </w:r>
      <w:r w:rsidR="00713010" w:rsidRPr="00615171">
        <w:rPr>
          <w:rFonts w:asciiTheme="majorBidi" w:hAnsiTheme="majorBidi" w:cstheme="majorBidi"/>
          <w:color w:val="000000" w:themeColor="text1"/>
          <w:sz w:val="24"/>
          <w:szCs w:val="24"/>
        </w:rPr>
        <w:t>,</w:t>
      </w:r>
      <w:r w:rsidR="00347A45" w:rsidRPr="00615171">
        <w:rPr>
          <w:rFonts w:asciiTheme="majorBidi" w:hAnsiTheme="majorBidi" w:cstheme="majorBidi"/>
          <w:color w:val="000000" w:themeColor="text1"/>
          <w:sz w:val="24"/>
          <w:szCs w:val="24"/>
        </w:rPr>
        <w:t xml:space="preserve"> as they </w:t>
      </w:r>
      <w:r w:rsidRPr="00615171">
        <w:rPr>
          <w:rFonts w:asciiTheme="majorBidi" w:hAnsiTheme="majorBidi" w:cstheme="majorBidi"/>
          <w:color w:val="000000" w:themeColor="text1"/>
          <w:sz w:val="24"/>
          <w:szCs w:val="24"/>
        </w:rPr>
        <w:t>are more vulnerable to poor health compare</w:t>
      </w:r>
      <w:r w:rsidR="00713010" w:rsidRPr="00615171">
        <w:rPr>
          <w:rFonts w:asciiTheme="majorBidi" w:hAnsiTheme="majorBidi" w:cstheme="majorBidi"/>
          <w:color w:val="000000" w:themeColor="text1"/>
          <w:sz w:val="24"/>
          <w:szCs w:val="24"/>
        </w:rPr>
        <w:t>d</w:t>
      </w:r>
      <w:r w:rsidRPr="00615171">
        <w:rPr>
          <w:rFonts w:asciiTheme="majorBidi" w:hAnsiTheme="majorBidi" w:cstheme="majorBidi"/>
          <w:color w:val="000000" w:themeColor="text1"/>
          <w:sz w:val="24"/>
          <w:szCs w:val="24"/>
        </w:rPr>
        <w:t xml:space="preserve"> to</w:t>
      </w:r>
      <w:r w:rsidR="0079292B" w:rsidRPr="00615171">
        <w:rPr>
          <w:rFonts w:asciiTheme="majorBidi" w:hAnsiTheme="majorBidi" w:cstheme="majorBidi"/>
          <w:color w:val="000000" w:themeColor="text1"/>
          <w:sz w:val="24"/>
          <w:szCs w:val="24"/>
        </w:rPr>
        <w:t xml:space="preserve"> the</w:t>
      </w:r>
      <w:r w:rsidR="00231EB0" w:rsidRPr="00615171">
        <w:rPr>
          <w:rFonts w:asciiTheme="majorBidi" w:hAnsiTheme="majorBidi" w:cstheme="majorBidi"/>
          <w:color w:val="000000" w:themeColor="text1"/>
          <w:sz w:val="24"/>
          <w:szCs w:val="24"/>
        </w:rPr>
        <w:t xml:space="preserve"> people </w:t>
      </w:r>
      <w:r w:rsidR="00713010" w:rsidRPr="00615171">
        <w:rPr>
          <w:rFonts w:asciiTheme="majorBidi" w:hAnsiTheme="majorBidi" w:cstheme="majorBidi"/>
          <w:color w:val="000000" w:themeColor="text1"/>
          <w:sz w:val="24"/>
          <w:szCs w:val="24"/>
        </w:rPr>
        <w:t>in</w:t>
      </w:r>
      <w:r w:rsidRPr="00615171">
        <w:rPr>
          <w:rFonts w:asciiTheme="majorBidi" w:hAnsiTheme="majorBidi" w:cstheme="majorBidi"/>
          <w:color w:val="000000" w:themeColor="text1"/>
          <w:sz w:val="24"/>
          <w:szCs w:val="24"/>
        </w:rPr>
        <w:t xml:space="preserve"> other age groups. </w:t>
      </w:r>
      <w:r w:rsidR="00713010" w:rsidRPr="00615171">
        <w:rPr>
          <w:rFonts w:asciiTheme="majorBidi" w:hAnsiTheme="majorBidi" w:cstheme="majorBidi"/>
          <w:color w:val="000000" w:themeColor="text1"/>
          <w:sz w:val="24"/>
          <w:szCs w:val="24"/>
        </w:rPr>
        <w:t>P</w:t>
      </w:r>
      <w:r w:rsidRPr="00615171">
        <w:rPr>
          <w:rFonts w:asciiTheme="majorBidi" w:hAnsiTheme="majorBidi" w:cstheme="majorBidi"/>
          <w:color w:val="000000" w:themeColor="text1"/>
          <w:sz w:val="24"/>
          <w:szCs w:val="24"/>
        </w:rPr>
        <w:t>oor health</w:t>
      </w:r>
      <w:r w:rsidR="00B759A4" w:rsidRPr="00615171">
        <w:rPr>
          <w:rFonts w:asciiTheme="majorBidi" w:hAnsiTheme="majorBidi" w:cstheme="majorBidi"/>
          <w:color w:val="000000" w:themeColor="text1"/>
          <w:sz w:val="24"/>
          <w:szCs w:val="24"/>
        </w:rPr>
        <w:t xml:space="preserve"> </w:t>
      </w:r>
      <w:r w:rsidR="0068370D" w:rsidRPr="00615171">
        <w:rPr>
          <w:rFonts w:asciiTheme="majorBidi" w:hAnsiTheme="majorBidi" w:cstheme="majorBidi"/>
          <w:color w:val="000000" w:themeColor="text1"/>
          <w:sz w:val="24"/>
          <w:szCs w:val="24"/>
        </w:rPr>
        <w:t>of</w:t>
      </w:r>
      <w:r w:rsidR="00B759A4" w:rsidRPr="00615171">
        <w:rPr>
          <w:rFonts w:asciiTheme="majorBidi" w:hAnsiTheme="majorBidi" w:cstheme="majorBidi"/>
          <w:color w:val="000000" w:themeColor="text1"/>
          <w:sz w:val="24"/>
          <w:szCs w:val="24"/>
        </w:rPr>
        <w:t xml:space="preserve"> older </w:t>
      </w:r>
      <w:r w:rsidR="00A8427A" w:rsidRPr="00615171">
        <w:rPr>
          <w:rFonts w:asciiTheme="majorBidi" w:hAnsiTheme="majorBidi" w:cstheme="majorBidi"/>
          <w:color w:val="000000" w:themeColor="text1"/>
          <w:sz w:val="24"/>
          <w:szCs w:val="24"/>
        </w:rPr>
        <w:t xml:space="preserve">people </w:t>
      </w:r>
      <w:r w:rsidR="00794C44" w:rsidRPr="00615171">
        <w:rPr>
          <w:rFonts w:asciiTheme="majorBidi" w:hAnsiTheme="majorBidi" w:cstheme="majorBidi"/>
          <w:color w:val="000000" w:themeColor="text1"/>
          <w:sz w:val="24"/>
          <w:szCs w:val="24"/>
        </w:rPr>
        <w:t>may be related to lower</w:t>
      </w:r>
      <w:r w:rsidRPr="00615171">
        <w:rPr>
          <w:rFonts w:asciiTheme="majorBidi" w:hAnsiTheme="majorBidi" w:cstheme="majorBidi"/>
          <w:color w:val="000000" w:themeColor="text1"/>
          <w:sz w:val="24"/>
          <w:szCs w:val="24"/>
        </w:rPr>
        <w:t xml:space="preserve"> earning capacity.</w:t>
      </w:r>
      <w:r w:rsidR="00845960"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A</w:t>
      </w:r>
      <w:r w:rsidR="00845960" w:rsidRPr="00615171">
        <w:rPr>
          <w:rFonts w:asciiTheme="majorBidi" w:hAnsiTheme="majorBidi" w:cstheme="majorBidi"/>
          <w:color w:val="000000" w:themeColor="text1"/>
          <w:sz w:val="24"/>
          <w:szCs w:val="24"/>
        </w:rPr>
        <w:t xml:space="preserve">s income is strongly associated with occupation, measuring </w:t>
      </w:r>
      <w:r w:rsidR="00713010" w:rsidRPr="00615171">
        <w:rPr>
          <w:rFonts w:asciiTheme="majorBidi" w:hAnsiTheme="majorBidi" w:cstheme="majorBidi"/>
          <w:color w:val="000000" w:themeColor="text1"/>
          <w:sz w:val="24"/>
          <w:szCs w:val="24"/>
        </w:rPr>
        <w:t xml:space="preserve">the </w:t>
      </w:r>
      <w:r w:rsidR="00845960" w:rsidRPr="00615171">
        <w:rPr>
          <w:rFonts w:asciiTheme="majorBidi" w:hAnsiTheme="majorBidi" w:cstheme="majorBidi"/>
          <w:color w:val="000000" w:themeColor="text1"/>
          <w:sz w:val="24"/>
          <w:szCs w:val="24"/>
        </w:rPr>
        <w:t xml:space="preserve">socio-economic status of older people through their income is problematic because very few people in the UK </w:t>
      </w:r>
      <w:r w:rsidR="00794C44" w:rsidRPr="00615171">
        <w:rPr>
          <w:rFonts w:asciiTheme="majorBidi" w:hAnsiTheme="majorBidi" w:cstheme="majorBidi"/>
          <w:color w:val="000000" w:themeColor="text1"/>
          <w:sz w:val="24"/>
          <w:szCs w:val="24"/>
        </w:rPr>
        <w:t>continue</w:t>
      </w:r>
      <w:r w:rsidR="00713010" w:rsidRPr="00615171">
        <w:rPr>
          <w:rFonts w:asciiTheme="majorBidi" w:hAnsiTheme="majorBidi" w:cstheme="majorBidi"/>
          <w:color w:val="000000" w:themeColor="text1"/>
          <w:sz w:val="24"/>
          <w:szCs w:val="24"/>
        </w:rPr>
        <w:t xml:space="preserve"> </w:t>
      </w:r>
      <w:r w:rsidR="00845960" w:rsidRPr="00615171">
        <w:rPr>
          <w:rFonts w:asciiTheme="majorBidi" w:hAnsiTheme="majorBidi" w:cstheme="majorBidi"/>
          <w:color w:val="000000" w:themeColor="text1"/>
          <w:sz w:val="24"/>
          <w:szCs w:val="24"/>
        </w:rPr>
        <w:t xml:space="preserve">working after </w:t>
      </w:r>
      <w:r w:rsidR="00713010" w:rsidRPr="00615171">
        <w:rPr>
          <w:rFonts w:asciiTheme="majorBidi" w:hAnsiTheme="majorBidi" w:cstheme="majorBidi"/>
          <w:color w:val="000000" w:themeColor="text1"/>
          <w:sz w:val="24"/>
          <w:szCs w:val="24"/>
        </w:rPr>
        <w:t xml:space="preserve">the </w:t>
      </w:r>
      <w:r w:rsidR="00845960" w:rsidRPr="00615171">
        <w:rPr>
          <w:rFonts w:asciiTheme="majorBidi" w:hAnsiTheme="majorBidi" w:cstheme="majorBidi"/>
          <w:color w:val="000000" w:themeColor="text1"/>
          <w:sz w:val="24"/>
          <w:szCs w:val="24"/>
        </w:rPr>
        <w:t>age</w:t>
      </w:r>
      <w:r w:rsidR="00713010" w:rsidRPr="00615171">
        <w:rPr>
          <w:rFonts w:asciiTheme="majorBidi" w:hAnsiTheme="majorBidi" w:cstheme="majorBidi"/>
          <w:color w:val="000000" w:themeColor="text1"/>
          <w:sz w:val="24"/>
          <w:szCs w:val="24"/>
        </w:rPr>
        <w:t xml:space="preserve"> of</w:t>
      </w:r>
      <w:r w:rsidR="00845960" w:rsidRPr="00615171">
        <w:rPr>
          <w:rFonts w:asciiTheme="majorBidi" w:hAnsiTheme="majorBidi" w:cstheme="majorBidi"/>
          <w:color w:val="000000" w:themeColor="text1"/>
          <w:sz w:val="24"/>
          <w:szCs w:val="24"/>
        </w:rPr>
        <w:t xml:space="preserve"> 65. Moreover, collecting comprehensive and accurate income data of older people is difficult because</w:t>
      </w:r>
      <w:r w:rsidR="00C3741E" w:rsidRPr="00615171">
        <w:rPr>
          <w:rFonts w:asciiTheme="majorBidi" w:hAnsiTheme="majorBidi" w:cstheme="majorBidi"/>
          <w:color w:val="000000" w:themeColor="text1"/>
          <w:sz w:val="24"/>
          <w:szCs w:val="24"/>
        </w:rPr>
        <w:t xml:space="preserve"> it requires a large number of sensitive questions to </w:t>
      </w:r>
      <w:r w:rsidR="00713010" w:rsidRPr="00615171">
        <w:rPr>
          <w:rFonts w:asciiTheme="majorBidi" w:hAnsiTheme="majorBidi" w:cstheme="majorBidi"/>
          <w:color w:val="000000" w:themeColor="text1"/>
          <w:sz w:val="24"/>
          <w:szCs w:val="24"/>
        </w:rPr>
        <w:t>identify</w:t>
      </w:r>
      <w:r w:rsidR="00C3741E" w:rsidRPr="00615171">
        <w:rPr>
          <w:rFonts w:asciiTheme="majorBidi" w:hAnsiTheme="majorBidi" w:cstheme="majorBidi"/>
          <w:color w:val="000000" w:themeColor="text1"/>
          <w:sz w:val="24"/>
          <w:szCs w:val="24"/>
        </w:rPr>
        <w:t xml:space="preserve"> the different source</w:t>
      </w:r>
      <w:r w:rsidR="00231EB0" w:rsidRPr="00615171">
        <w:rPr>
          <w:rFonts w:asciiTheme="majorBidi" w:hAnsiTheme="majorBidi" w:cstheme="majorBidi"/>
          <w:color w:val="000000" w:themeColor="text1"/>
          <w:sz w:val="24"/>
          <w:szCs w:val="24"/>
        </w:rPr>
        <w:t>s</w:t>
      </w:r>
      <w:r w:rsidR="00C3741E" w:rsidRPr="00615171">
        <w:rPr>
          <w:rFonts w:asciiTheme="majorBidi" w:hAnsiTheme="majorBidi" w:cstheme="majorBidi"/>
          <w:color w:val="000000" w:themeColor="text1"/>
          <w:sz w:val="24"/>
          <w:szCs w:val="24"/>
        </w:rPr>
        <w:t xml:space="preserve"> of</w:t>
      </w:r>
      <w:r w:rsidR="00C057E7" w:rsidRPr="00615171">
        <w:rPr>
          <w:rFonts w:asciiTheme="majorBidi" w:hAnsiTheme="majorBidi" w:cstheme="majorBidi"/>
          <w:color w:val="000000" w:themeColor="text1"/>
          <w:sz w:val="24"/>
          <w:szCs w:val="24"/>
        </w:rPr>
        <w:t xml:space="preserve"> income</w:t>
      </w:r>
      <w:r w:rsidR="002C22C2" w:rsidRPr="00615171">
        <w:rPr>
          <w:rFonts w:asciiTheme="majorBidi" w:hAnsiTheme="majorBidi" w:cstheme="majorBidi"/>
          <w:color w:val="000000" w:themeColor="text1"/>
          <w:sz w:val="24"/>
          <w:szCs w:val="24"/>
        </w:rPr>
        <w:t xml:space="preserve">. These sources could include </w:t>
      </w:r>
      <w:r w:rsidR="00C057E7" w:rsidRPr="00615171">
        <w:rPr>
          <w:rFonts w:asciiTheme="majorBidi" w:hAnsiTheme="majorBidi" w:cstheme="majorBidi"/>
          <w:color w:val="000000" w:themeColor="text1"/>
          <w:sz w:val="24"/>
          <w:szCs w:val="24"/>
        </w:rPr>
        <w:t>benefits, pension</w:t>
      </w:r>
      <w:r w:rsidR="00713010" w:rsidRPr="00615171">
        <w:rPr>
          <w:rFonts w:asciiTheme="majorBidi" w:hAnsiTheme="majorBidi" w:cstheme="majorBidi"/>
          <w:color w:val="000000" w:themeColor="text1"/>
          <w:sz w:val="24"/>
          <w:szCs w:val="24"/>
        </w:rPr>
        <w:t>s</w:t>
      </w:r>
      <w:r w:rsidR="00C057E7"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and financial</w:t>
      </w:r>
      <w:r w:rsidR="00C057E7" w:rsidRPr="00615171">
        <w:rPr>
          <w:rFonts w:asciiTheme="majorBidi" w:hAnsiTheme="majorBidi" w:cstheme="majorBidi"/>
          <w:color w:val="000000" w:themeColor="text1"/>
          <w:sz w:val="24"/>
          <w:szCs w:val="24"/>
        </w:rPr>
        <w:t xml:space="preserve"> assistance</w:t>
      </w:r>
      <w:r w:rsidR="00713010" w:rsidRPr="00615171">
        <w:rPr>
          <w:rFonts w:asciiTheme="majorBidi" w:hAnsiTheme="majorBidi" w:cstheme="majorBidi"/>
          <w:color w:val="000000" w:themeColor="text1"/>
          <w:sz w:val="24"/>
          <w:szCs w:val="24"/>
        </w:rPr>
        <w:t xml:space="preserve"> for example, </w:t>
      </w:r>
      <w:r w:rsidR="002C22C2" w:rsidRPr="00615171">
        <w:rPr>
          <w:rFonts w:asciiTheme="majorBidi" w:hAnsiTheme="majorBidi" w:cstheme="majorBidi"/>
          <w:color w:val="000000" w:themeColor="text1"/>
          <w:sz w:val="24"/>
          <w:szCs w:val="24"/>
        </w:rPr>
        <w:t>that people</w:t>
      </w:r>
      <w:r w:rsidR="0068370D" w:rsidRPr="00615171">
        <w:rPr>
          <w:rFonts w:asciiTheme="majorBidi" w:hAnsiTheme="majorBidi" w:cstheme="majorBidi"/>
          <w:color w:val="000000" w:themeColor="text1"/>
          <w:sz w:val="24"/>
          <w:szCs w:val="24"/>
        </w:rPr>
        <w:t xml:space="preserve"> may not be willing to disclose and </w:t>
      </w:r>
      <w:r w:rsidR="002C22C2" w:rsidRPr="00615171">
        <w:rPr>
          <w:rFonts w:asciiTheme="majorBidi" w:hAnsiTheme="majorBidi" w:cstheme="majorBidi"/>
          <w:color w:val="000000" w:themeColor="text1"/>
          <w:sz w:val="24"/>
          <w:szCs w:val="24"/>
        </w:rPr>
        <w:t>so provoking</w:t>
      </w:r>
      <w:r w:rsidR="00713010" w:rsidRPr="00615171">
        <w:rPr>
          <w:rFonts w:asciiTheme="majorBidi" w:hAnsiTheme="majorBidi" w:cstheme="majorBidi"/>
          <w:color w:val="000000" w:themeColor="text1"/>
          <w:sz w:val="24"/>
          <w:szCs w:val="24"/>
        </w:rPr>
        <w:t xml:space="preserve"> a</w:t>
      </w:r>
      <w:r w:rsidR="00C057E7" w:rsidRPr="00615171">
        <w:rPr>
          <w:rFonts w:asciiTheme="majorBidi" w:hAnsiTheme="majorBidi" w:cstheme="majorBidi"/>
          <w:color w:val="000000" w:themeColor="text1"/>
          <w:sz w:val="24"/>
          <w:szCs w:val="24"/>
        </w:rPr>
        <w:t xml:space="preserve"> low response rate</w:t>
      </w:r>
      <w:r w:rsidR="00012791" w:rsidRPr="00615171">
        <w:rPr>
          <w:rFonts w:asciiTheme="majorBidi" w:hAnsiTheme="majorBidi" w:cstheme="majorBidi"/>
          <w:i/>
          <w:iCs/>
          <w:color w:val="000000" w:themeColor="text1"/>
          <w:sz w:val="24"/>
          <w:szCs w:val="24"/>
        </w:rPr>
        <w:t xml:space="preserve"> (</w:t>
      </w:r>
      <w:proofErr w:type="spellStart"/>
      <w:r w:rsidR="00012791" w:rsidRPr="00615171">
        <w:rPr>
          <w:rFonts w:asciiTheme="majorBidi" w:hAnsiTheme="majorBidi" w:cstheme="majorBidi"/>
          <w:i/>
          <w:iCs/>
          <w:color w:val="000000" w:themeColor="text1"/>
          <w:sz w:val="24"/>
          <w:szCs w:val="24"/>
        </w:rPr>
        <w:t>Evandrou</w:t>
      </w:r>
      <w:proofErr w:type="spellEnd"/>
      <w:r w:rsidR="00012791" w:rsidRPr="00615171">
        <w:rPr>
          <w:rFonts w:asciiTheme="majorBidi" w:hAnsiTheme="majorBidi" w:cstheme="majorBidi"/>
          <w:i/>
          <w:iCs/>
          <w:color w:val="000000" w:themeColor="text1"/>
          <w:sz w:val="24"/>
          <w:szCs w:val="24"/>
        </w:rPr>
        <w:t>, 2005)</w:t>
      </w:r>
      <w:r w:rsidR="00C057E7" w:rsidRPr="00615171">
        <w:rPr>
          <w:rFonts w:asciiTheme="majorBidi" w:hAnsiTheme="majorBidi" w:cstheme="majorBidi"/>
          <w:color w:val="000000" w:themeColor="text1"/>
          <w:sz w:val="24"/>
          <w:szCs w:val="24"/>
        </w:rPr>
        <w:t>.</w:t>
      </w:r>
      <w:r w:rsidR="00526E2C" w:rsidRPr="00615171">
        <w:rPr>
          <w:rFonts w:asciiTheme="majorBidi" w:hAnsiTheme="majorBidi" w:cstheme="majorBidi"/>
          <w:color w:val="000000" w:themeColor="text1"/>
          <w:sz w:val="24"/>
          <w:szCs w:val="24"/>
        </w:rPr>
        <w:t xml:space="preserve"> </w:t>
      </w:r>
    </w:p>
    <w:p w14:paraId="52C8E530" w14:textId="77777777" w:rsidR="00455C07" w:rsidRPr="00615171" w:rsidRDefault="00455C07" w:rsidP="00623739">
      <w:pPr>
        <w:spacing w:after="0" w:line="240" w:lineRule="auto"/>
        <w:ind w:firstLine="720"/>
        <w:jc w:val="both"/>
        <w:rPr>
          <w:rFonts w:asciiTheme="majorBidi" w:hAnsiTheme="majorBidi" w:cstheme="majorBidi"/>
          <w:color w:val="000000" w:themeColor="text1"/>
          <w:sz w:val="24"/>
          <w:szCs w:val="24"/>
        </w:rPr>
      </w:pPr>
    </w:p>
    <w:p w14:paraId="04D4BD1E" w14:textId="37094A1F" w:rsidR="00F60B1B" w:rsidRPr="00615171" w:rsidRDefault="00BC6B4D" w:rsidP="0062373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W</w:t>
      </w:r>
      <w:r w:rsidR="00811CE4" w:rsidRPr="00615171">
        <w:rPr>
          <w:rFonts w:asciiTheme="majorBidi" w:hAnsiTheme="majorBidi" w:cstheme="majorBidi"/>
          <w:color w:val="000000" w:themeColor="text1"/>
          <w:sz w:val="24"/>
          <w:szCs w:val="24"/>
        </w:rPr>
        <w:t xml:space="preserve">ealth is </w:t>
      </w:r>
      <w:r w:rsidR="00F60B1B" w:rsidRPr="00615171">
        <w:rPr>
          <w:rFonts w:asciiTheme="majorBidi" w:hAnsiTheme="majorBidi" w:cstheme="majorBidi"/>
          <w:color w:val="000000" w:themeColor="text1"/>
          <w:sz w:val="24"/>
          <w:szCs w:val="24"/>
        </w:rPr>
        <w:t xml:space="preserve">a </w:t>
      </w:r>
      <w:r w:rsidR="00811CE4" w:rsidRPr="00615171">
        <w:rPr>
          <w:rFonts w:asciiTheme="majorBidi" w:hAnsiTheme="majorBidi" w:cstheme="majorBidi"/>
          <w:color w:val="000000" w:themeColor="text1"/>
          <w:sz w:val="24"/>
          <w:szCs w:val="24"/>
        </w:rPr>
        <w:t>better indicator of measure</w:t>
      </w:r>
      <w:r w:rsidR="00EA225E" w:rsidRPr="00615171">
        <w:rPr>
          <w:rFonts w:asciiTheme="majorBidi" w:hAnsiTheme="majorBidi" w:cstheme="majorBidi"/>
          <w:color w:val="000000" w:themeColor="text1"/>
          <w:sz w:val="24"/>
          <w:szCs w:val="24"/>
        </w:rPr>
        <w:t>s</w:t>
      </w:r>
      <w:r w:rsidR="00811CE4"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for</w:t>
      </w:r>
      <w:r w:rsidR="00811CE4"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 xml:space="preserve">the </w:t>
      </w:r>
      <w:r w:rsidR="00526E2C" w:rsidRPr="00615171">
        <w:rPr>
          <w:rFonts w:asciiTheme="majorBidi" w:hAnsiTheme="majorBidi" w:cstheme="majorBidi"/>
          <w:color w:val="000000" w:themeColor="text1"/>
          <w:sz w:val="24"/>
          <w:szCs w:val="24"/>
        </w:rPr>
        <w:t>economic</w:t>
      </w:r>
      <w:r w:rsidR="00811CE4" w:rsidRPr="00615171">
        <w:rPr>
          <w:rFonts w:asciiTheme="majorBidi" w:hAnsiTheme="majorBidi" w:cstheme="majorBidi"/>
          <w:color w:val="000000" w:themeColor="text1"/>
          <w:sz w:val="24"/>
          <w:szCs w:val="24"/>
        </w:rPr>
        <w:t xml:space="preserve"> status of older people than income </w:t>
      </w:r>
      <w:r w:rsidR="00F82D79" w:rsidRPr="00615171">
        <w:rPr>
          <w:rFonts w:asciiTheme="majorBidi" w:hAnsiTheme="majorBidi" w:cstheme="majorBidi"/>
          <w:color w:val="000000" w:themeColor="text1"/>
          <w:sz w:val="24"/>
          <w:szCs w:val="24"/>
        </w:rPr>
        <w:t>a</w:t>
      </w:r>
      <w:r w:rsidRPr="00615171">
        <w:rPr>
          <w:rFonts w:asciiTheme="majorBidi" w:hAnsiTheme="majorBidi" w:cstheme="majorBidi"/>
          <w:color w:val="000000" w:themeColor="text1"/>
          <w:sz w:val="24"/>
          <w:szCs w:val="24"/>
        </w:rPr>
        <w:t xml:space="preserve">s it </w:t>
      </w:r>
      <w:r w:rsidR="00C4586D" w:rsidRPr="00615171">
        <w:rPr>
          <w:rFonts w:asciiTheme="majorBidi" w:hAnsiTheme="majorBidi" w:cstheme="majorBidi"/>
          <w:color w:val="000000" w:themeColor="text1"/>
          <w:sz w:val="24"/>
          <w:szCs w:val="24"/>
        </w:rPr>
        <w:t>include</w:t>
      </w:r>
      <w:r w:rsidRPr="00615171">
        <w:rPr>
          <w:rFonts w:asciiTheme="majorBidi" w:hAnsiTheme="majorBidi" w:cstheme="majorBidi"/>
          <w:color w:val="000000" w:themeColor="text1"/>
          <w:sz w:val="24"/>
          <w:szCs w:val="24"/>
        </w:rPr>
        <w:t>s</w:t>
      </w:r>
      <w:r w:rsidR="00C4586D" w:rsidRPr="00615171">
        <w:rPr>
          <w:rFonts w:asciiTheme="majorBidi" w:hAnsiTheme="majorBidi" w:cstheme="majorBidi"/>
          <w:color w:val="000000" w:themeColor="text1"/>
          <w:sz w:val="24"/>
          <w:szCs w:val="24"/>
        </w:rPr>
        <w:t xml:space="preserve"> the stock</w:t>
      </w:r>
      <w:r w:rsidR="00EA225E" w:rsidRPr="00615171">
        <w:rPr>
          <w:rFonts w:asciiTheme="majorBidi" w:hAnsiTheme="majorBidi" w:cstheme="majorBidi"/>
          <w:color w:val="000000" w:themeColor="text1"/>
          <w:sz w:val="24"/>
          <w:szCs w:val="24"/>
        </w:rPr>
        <w:t xml:space="preserve"> of assets that</w:t>
      </w:r>
      <w:r w:rsidR="00192ADA" w:rsidRPr="00615171">
        <w:rPr>
          <w:rFonts w:asciiTheme="majorBidi" w:hAnsiTheme="majorBidi" w:cstheme="majorBidi"/>
          <w:color w:val="000000" w:themeColor="text1"/>
          <w:sz w:val="24"/>
          <w:szCs w:val="24"/>
        </w:rPr>
        <w:t xml:space="preserve"> can be used to </w:t>
      </w:r>
      <w:r w:rsidRPr="00615171">
        <w:rPr>
          <w:rFonts w:asciiTheme="majorBidi" w:hAnsiTheme="majorBidi" w:cstheme="majorBidi"/>
          <w:color w:val="000000" w:themeColor="text1"/>
          <w:sz w:val="24"/>
          <w:szCs w:val="24"/>
        </w:rPr>
        <w:t>live on as</w:t>
      </w:r>
      <w:r w:rsidR="00192ADA" w:rsidRPr="00615171">
        <w:rPr>
          <w:rFonts w:asciiTheme="majorBidi" w:hAnsiTheme="majorBidi" w:cstheme="majorBidi"/>
          <w:color w:val="000000" w:themeColor="text1"/>
          <w:sz w:val="24"/>
          <w:szCs w:val="24"/>
        </w:rPr>
        <w:t xml:space="preserve"> </w:t>
      </w:r>
      <w:r w:rsidR="00811CE4" w:rsidRPr="00615171">
        <w:rPr>
          <w:rFonts w:asciiTheme="majorBidi" w:hAnsiTheme="majorBidi" w:cstheme="majorBidi"/>
          <w:color w:val="000000" w:themeColor="text1"/>
          <w:sz w:val="24"/>
          <w:szCs w:val="24"/>
        </w:rPr>
        <w:t>necessary</w:t>
      </w:r>
      <w:r w:rsidR="00C4586D" w:rsidRPr="00615171">
        <w:rPr>
          <w:rFonts w:asciiTheme="majorBidi" w:hAnsiTheme="majorBidi" w:cstheme="majorBidi"/>
          <w:color w:val="000000" w:themeColor="text1"/>
          <w:sz w:val="24"/>
          <w:szCs w:val="24"/>
        </w:rPr>
        <w:t xml:space="preserve"> (Marmot, 2004)</w:t>
      </w:r>
      <w:r w:rsidR="00811CE4" w:rsidRPr="00615171">
        <w:rPr>
          <w:rFonts w:asciiTheme="majorBidi" w:hAnsiTheme="majorBidi" w:cstheme="majorBidi"/>
          <w:color w:val="000000" w:themeColor="text1"/>
          <w:sz w:val="24"/>
          <w:szCs w:val="24"/>
        </w:rPr>
        <w:t>.</w:t>
      </w:r>
      <w:r w:rsidR="00F60B1B" w:rsidRPr="00615171">
        <w:rPr>
          <w:rFonts w:asciiTheme="majorBidi" w:hAnsiTheme="majorBidi" w:cstheme="majorBidi"/>
          <w:color w:val="000000" w:themeColor="text1"/>
          <w:sz w:val="24"/>
          <w:szCs w:val="24"/>
        </w:rPr>
        <w:t xml:space="preserve"> Wealth </w:t>
      </w:r>
      <w:r w:rsidRPr="00615171">
        <w:rPr>
          <w:rFonts w:asciiTheme="majorBidi" w:hAnsiTheme="majorBidi" w:cstheme="majorBidi"/>
          <w:color w:val="000000" w:themeColor="text1"/>
          <w:sz w:val="24"/>
          <w:szCs w:val="24"/>
        </w:rPr>
        <w:t>represents the</w:t>
      </w:r>
      <w:r w:rsidR="00F60B1B" w:rsidRPr="00615171">
        <w:rPr>
          <w:rFonts w:asciiTheme="majorBidi" w:hAnsiTheme="majorBidi" w:cstheme="majorBidi"/>
          <w:color w:val="000000" w:themeColor="text1"/>
          <w:sz w:val="24"/>
          <w:szCs w:val="24"/>
        </w:rPr>
        <w:t xml:space="preserve"> accumulated assets throughout life and the distribution of wealth among people is more unequal than other indicators of SES, and therefore</w:t>
      </w:r>
      <w:r w:rsidR="00231EB0" w:rsidRPr="00615171">
        <w:rPr>
          <w:rFonts w:asciiTheme="majorBidi" w:hAnsiTheme="majorBidi" w:cstheme="majorBidi"/>
          <w:color w:val="000000" w:themeColor="text1"/>
          <w:sz w:val="24"/>
          <w:szCs w:val="24"/>
        </w:rPr>
        <w:t>,</w:t>
      </w:r>
      <w:r w:rsidR="00F60B1B" w:rsidRPr="00615171">
        <w:rPr>
          <w:rFonts w:asciiTheme="majorBidi" w:hAnsiTheme="majorBidi" w:cstheme="majorBidi"/>
          <w:color w:val="000000" w:themeColor="text1"/>
          <w:sz w:val="24"/>
          <w:szCs w:val="24"/>
        </w:rPr>
        <w:t xml:space="preserve"> has a significant gradient in people’s health choices (Shaw </w:t>
      </w:r>
      <w:r w:rsidR="002E5F20" w:rsidRPr="00615171">
        <w:rPr>
          <w:rFonts w:asciiTheme="majorBidi" w:hAnsiTheme="majorBidi" w:cstheme="majorBidi"/>
          <w:i/>
          <w:color w:val="000000" w:themeColor="text1"/>
          <w:sz w:val="24"/>
          <w:szCs w:val="24"/>
        </w:rPr>
        <w:t>et al.</w:t>
      </w:r>
      <w:r w:rsidR="00F60B1B" w:rsidRPr="00615171">
        <w:rPr>
          <w:rFonts w:asciiTheme="majorBidi" w:hAnsiTheme="majorBidi" w:cstheme="majorBidi"/>
          <w:color w:val="000000" w:themeColor="text1"/>
          <w:sz w:val="24"/>
          <w:szCs w:val="24"/>
        </w:rPr>
        <w:t>, 2005).</w:t>
      </w:r>
      <w:r w:rsidR="00811CE4" w:rsidRPr="00615171">
        <w:rPr>
          <w:rFonts w:asciiTheme="majorBidi" w:hAnsiTheme="majorBidi" w:cstheme="majorBidi"/>
          <w:color w:val="000000" w:themeColor="text1"/>
          <w:sz w:val="24"/>
          <w:szCs w:val="24"/>
        </w:rPr>
        <w:t xml:space="preserve"> </w:t>
      </w:r>
      <w:r w:rsidR="00F552C9" w:rsidRPr="00615171">
        <w:rPr>
          <w:rFonts w:asciiTheme="majorBidi" w:hAnsiTheme="majorBidi" w:cstheme="majorBidi"/>
          <w:color w:val="000000" w:themeColor="text1"/>
          <w:sz w:val="24"/>
          <w:szCs w:val="24"/>
        </w:rPr>
        <w:t>Through a</w:t>
      </w:r>
      <w:r w:rsidR="00F60B1B" w:rsidRPr="00615171">
        <w:rPr>
          <w:rFonts w:asciiTheme="majorBidi" w:hAnsiTheme="majorBidi" w:cstheme="majorBidi"/>
          <w:color w:val="000000" w:themeColor="text1"/>
          <w:sz w:val="24"/>
          <w:szCs w:val="24"/>
        </w:rPr>
        <w:t>naly</w:t>
      </w:r>
      <w:r w:rsidRPr="00615171">
        <w:rPr>
          <w:rFonts w:asciiTheme="majorBidi" w:hAnsiTheme="majorBidi" w:cstheme="majorBidi"/>
          <w:color w:val="000000" w:themeColor="text1"/>
          <w:sz w:val="24"/>
          <w:szCs w:val="24"/>
        </w:rPr>
        <w:t>s</w:t>
      </w:r>
      <w:r w:rsidR="00F60B1B" w:rsidRPr="00615171">
        <w:rPr>
          <w:rFonts w:asciiTheme="majorBidi" w:hAnsiTheme="majorBidi" w:cstheme="majorBidi"/>
          <w:color w:val="000000" w:themeColor="text1"/>
          <w:sz w:val="24"/>
          <w:szCs w:val="24"/>
        </w:rPr>
        <w:t>ing the ongoing ELSA data</w:t>
      </w:r>
      <w:r w:rsidR="00F552C9" w:rsidRPr="00615171">
        <w:rPr>
          <w:rFonts w:asciiTheme="majorBidi" w:hAnsiTheme="majorBidi" w:cstheme="majorBidi"/>
          <w:color w:val="000000" w:themeColor="text1"/>
          <w:sz w:val="24"/>
          <w:szCs w:val="24"/>
        </w:rPr>
        <w:t>, Ta</w:t>
      </w:r>
      <w:r w:rsidR="00841F05" w:rsidRPr="00615171">
        <w:rPr>
          <w:rFonts w:asciiTheme="majorBidi" w:hAnsiTheme="majorBidi" w:cstheme="majorBidi"/>
          <w:color w:val="000000" w:themeColor="text1"/>
          <w:sz w:val="24"/>
          <w:szCs w:val="24"/>
        </w:rPr>
        <w:t xml:space="preserve">naka </w:t>
      </w:r>
      <w:r w:rsidR="002E5F20" w:rsidRPr="00615171">
        <w:rPr>
          <w:rFonts w:asciiTheme="majorBidi" w:hAnsiTheme="majorBidi" w:cstheme="majorBidi"/>
          <w:i/>
          <w:color w:val="000000" w:themeColor="text1"/>
          <w:sz w:val="24"/>
          <w:szCs w:val="24"/>
        </w:rPr>
        <w:t>et al.</w:t>
      </w:r>
      <w:r w:rsidR="00F552C9" w:rsidRPr="00615171">
        <w:rPr>
          <w:rFonts w:asciiTheme="majorBidi" w:hAnsiTheme="majorBidi" w:cstheme="majorBidi"/>
          <w:color w:val="000000" w:themeColor="text1"/>
          <w:sz w:val="24"/>
          <w:szCs w:val="24"/>
        </w:rPr>
        <w:t xml:space="preserve"> (2011) report</w:t>
      </w:r>
      <w:r w:rsidR="0079292B" w:rsidRPr="00615171">
        <w:rPr>
          <w:rFonts w:asciiTheme="majorBidi" w:hAnsiTheme="majorBidi" w:cstheme="majorBidi"/>
          <w:color w:val="000000" w:themeColor="text1"/>
          <w:sz w:val="24"/>
          <w:szCs w:val="24"/>
        </w:rPr>
        <w:t>ed</w:t>
      </w:r>
      <w:r w:rsidR="00F552C9" w:rsidRPr="00615171">
        <w:rPr>
          <w:rFonts w:asciiTheme="majorBidi" w:hAnsiTheme="majorBidi" w:cstheme="majorBidi"/>
          <w:color w:val="000000" w:themeColor="text1"/>
          <w:sz w:val="24"/>
          <w:szCs w:val="24"/>
        </w:rPr>
        <w:t xml:space="preserve"> that lower</w:t>
      </w:r>
      <w:r w:rsidR="00F60B1B" w:rsidRPr="00615171">
        <w:rPr>
          <w:rFonts w:asciiTheme="majorBidi" w:hAnsiTheme="majorBidi" w:cstheme="majorBidi"/>
          <w:color w:val="000000" w:themeColor="text1"/>
          <w:sz w:val="24"/>
          <w:szCs w:val="24"/>
        </w:rPr>
        <w:t xml:space="preserve"> financial wealth is significantly associated with higher prevalence and incidence of diabetes among older people. </w:t>
      </w:r>
    </w:p>
    <w:p w14:paraId="0745F9F3" w14:textId="77777777" w:rsidR="00ED7AEF" w:rsidRPr="00615171" w:rsidRDefault="00ED7AEF" w:rsidP="00623739">
      <w:pPr>
        <w:spacing w:after="0" w:line="240" w:lineRule="auto"/>
        <w:ind w:firstLine="720"/>
        <w:jc w:val="both"/>
        <w:rPr>
          <w:rFonts w:asciiTheme="majorBidi" w:hAnsiTheme="majorBidi" w:cstheme="majorBidi"/>
          <w:color w:val="000000" w:themeColor="text1"/>
          <w:sz w:val="24"/>
          <w:szCs w:val="24"/>
        </w:rPr>
      </w:pPr>
    </w:p>
    <w:p w14:paraId="7067DA53" w14:textId="23155B28" w:rsidR="00526E2C" w:rsidRPr="00615171" w:rsidRDefault="00526E2C" w:rsidP="0062373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I</w:t>
      </w:r>
      <w:r w:rsidR="00CC7CF4" w:rsidRPr="00615171">
        <w:rPr>
          <w:rFonts w:asciiTheme="majorBidi" w:hAnsiTheme="majorBidi" w:cstheme="majorBidi"/>
          <w:color w:val="000000" w:themeColor="text1"/>
          <w:sz w:val="24"/>
          <w:szCs w:val="24"/>
        </w:rPr>
        <w:t>ncome and wealth</w:t>
      </w:r>
      <w:r w:rsidR="003971E3" w:rsidRPr="00615171">
        <w:rPr>
          <w:rFonts w:asciiTheme="majorBidi" w:hAnsiTheme="majorBidi" w:cstheme="majorBidi"/>
          <w:color w:val="000000" w:themeColor="text1"/>
          <w:sz w:val="24"/>
          <w:szCs w:val="24"/>
        </w:rPr>
        <w:t xml:space="preserve"> status</w:t>
      </w:r>
      <w:r w:rsidR="00CC7CF4" w:rsidRPr="00615171">
        <w:rPr>
          <w:rFonts w:asciiTheme="majorBidi" w:hAnsiTheme="majorBidi" w:cstheme="majorBidi"/>
          <w:color w:val="000000" w:themeColor="text1"/>
          <w:sz w:val="24"/>
          <w:szCs w:val="24"/>
        </w:rPr>
        <w:t xml:space="preserve"> facilitate access to health inputs</w:t>
      </w:r>
      <w:r w:rsidR="00B014F2" w:rsidRPr="00615171">
        <w:rPr>
          <w:rFonts w:asciiTheme="majorBidi" w:hAnsiTheme="majorBidi" w:cstheme="majorBidi"/>
          <w:color w:val="000000" w:themeColor="text1"/>
          <w:sz w:val="24"/>
          <w:szCs w:val="24"/>
        </w:rPr>
        <w:t xml:space="preserve"> such as </w:t>
      </w:r>
      <w:r w:rsidR="00794C44" w:rsidRPr="00615171">
        <w:rPr>
          <w:rFonts w:asciiTheme="majorBidi" w:hAnsiTheme="majorBidi" w:cstheme="majorBidi"/>
          <w:color w:val="000000" w:themeColor="text1"/>
          <w:sz w:val="24"/>
          <w:szCs w:val="24"/>
        </w:rPr>
        <w:t>higher quality diet</w:t>
      </w:r>
      <w:r w:rsidR="00CC7CF4" w:rsidRPr="00615171">
        <w:rPr>
          <w:rFonts w:asciiTheme="majorBidi" w:hAnsiTheme="majorBidi" w:cstheme="majorBidi"/>
          <w:color w:val="000000" w:themeColor="text1"/>
          <w:sz w:val="24"/>
          <w:szCs w:val="24"/>
        </w:rPr>
        <w:t xml:space="preserve"> a</w:t>
      </w:r>
      <w:r w:rsidR="003971E3" w:rsidRPr="00615171">
        <w:rPr>
          <w:rFonts w:asciiTheme="majorBidi" w:hAnsiTheme="majorBidi" w:cstheme="majorBidi"/>
          <w:color w:val="000000" w:themeColor="text1"/>
          <w:sz w:val="24"/>
          <w:szCs w:val="24"/>
        </w:rPr>
        <w:t xml:space="preserve">nd </w:t>
      </w:r>
      <w:r w:rsidR="00794C44" w:rsidRPr="00615171">
        <w:rPr>
          <w:rFonts w:asciiTheme="majorBidi" w:hAnsiTheme="majorBidi" w:cstheme="majorBidi"/>
          <w:color w:val="000000" w:themeColor="text1"/>
          <w:sz w:val="24"/>
          <w:szCs w:val="24"/>
        </w:rPr>
        <w:t xml:space="preserve">access to </w:t>
      </w:r>
      <w:r w:rsidR="003971E3" w:rsidRPr="00615171">
        <w:rPr>
          <w:rFonts w:asciiTheme="majorBidi" w:hAnsiTheme="majorBidi" w:cstheme="majorBidi"/>
          <w:color w:val="000000" w:themeColor="text1"/>
          <w:sz w:val="24"/>
          <w:szCs w:val="24"/>
        </w:rPr>
        <w:t>medical services</w:t>
      </w:r>
      <w:r w:rsidR="00B014F2" w:rsidRPr="00615171">
        <w:rPr>
          <w:rFonts w:asciiTheme="majorBidi" w:hAnsiTheme="majorBidi" w:cstheme="majorBidi"/>
          <w:color w:val="000000" w:themeColor="text1"/>
          <w:sz w:val="24"/>
          <w:szCs w:val="24"/>
        </w:rPr>
        <w:t>,</w:t>
      </w:r>
      <w:r w:rsidR="003971E3" w:rsidRPr="00615171">
        <w:rPr>
          <w:rFonts w:asciiTheme="majorBidi" w:hAnsiTheme="majorBidi" w:cstheme="majorBidi"/>
          <w:color w:val="000000" w:themeColor="text1"/>
          <w:sz w:val="24"/>
          <w:szCs w:val="24"/>
        </w:rPr>
        <w:t xml:space="preserve"> while</w:t>
      </w:r>
      <w:r w:rsidR="00CC7CF4" w:rsidRPr="00615171">
        <w:rPr>
          <w:rFonts w:asciiTheme="majorBidi" w:hAnsiTheme="majorBidi" w:cstheme="majorBidi"/>
          <w:color w:val="000000" w:themeColor="text1"/>
          <w:sz w:val="24"/>
          <w:szCs w:val="24"/>
        </w:rPr>
        <w:t xml:space="preserve"> </w:t>
      </w:r>
      <w:r w:rsidR="003971E3" w:rsidRPr="00615171">
        <w:rPr>
          <w:rFonts w:asciiTheme="majorBidi" w:hAnsiTheme="majorBidi" w:cstheme="majorBidi"/>
          <w:color w:val="000000" w:themeColor="text1"/>
          <w:sz w:val="24"/>
          <w:szCs w:val="24"/>
        </w:rPr>
        <w:t xml:space="preserve">better health improves </w:t>
      </w:r>
      <w:r w:rsidR="00B014F2" w:rsidRPr="00615171">
        <w:rPr>
          <w:rFonts w:asciiTheme="majorBidi" w:hAnsiTheme="majorBidi" w:cstheme="majorBidi"/>
          <w:color w:val="000000" w:themeColor="text1"/>
          <w:sz w:val="24"/>
          <w:szCs w:val="24"/>
        </w:rPr>
        <w:t>a person’s</w:t>
      </w:r>
      <w:r w:rsidR="003971E3" w:rsidRPr="00615171">
        <w:rPr>
          <w:rFonts w:asciiTheme="majorBidi" w:hAnsiTheme="majorBidi" w:cstheme="majorBidi"/>
          <w:color w:val="000000" w:themeColor="text1"/>
          <w:sz w:val="24"/>
          <w:szCs w:val="24"/>
        </w:rPr>
        <w:t xml:space="preserve"> earning capacity</w:t>
      </w:r>
      <w:r w:rsidR="00794C44" w:rsidRPr="00615171">
        <w:rPr>
          <w:rFonts w:asciiTheme="majorBidi" w:hAnsiTheme="majorBidi" w:cstheme="majorBidi"/>
          <w:color w:val="000000" w:themeColor="text1"/>
          <w:sz w:val="24"/>
          <w:szCs w:val="24"/>
        </w:rPr>
        <w:t xml:space="preserve"> leading to </w:t>
      </w:r>
      <w:r w:rsidR="00231EB0" w:rsidRPr="00615171">
        <w:rPr>
          <w:rFonts w:asciiTheme="majorBidi" w:hAnsiTheme="majorBidi" w:cstheme="majorBidi"/>
          <w:color w:val="000000" w:themeColor="text1"/>
          <w:sz w:val="24"/>
          <w:szCs w:val="24"/>
        </w:rPr>
        <w:t>a strong</w:t>
      </w:r>
      <w:r w:rsidR="00F077EC" w:rsidRPr="00615171">
        <w:rPr>
          <w:rFonts w:asciiTheme="majorBidi" w:hAnsiTheme="majorBidi" w:cstheme="majorBidi"/>
          <w:color w:val="000000" w:themeColor="text1"/>
          <w:sz w:val="24"/>
          <w:szCs w:val="24"/>
        </w:rPr>
        <w:t xml:space="preserve"> association between </w:t>
      </w:r>
      <w:r w:rsidR="00935DC6" w:rsidRPr="00615171">
        <w:rPr>
          <w:rFonts w:asciiTheme="majorBidi" w:hAnsiTheme="majorBidi" w:cstheme="majorBidi"/>
          <w:color w:val="000000" w:themeColor="text1"/>
          <w:sz w:val="24"/>
          <w:szCs w:val="24"/>
        </w:rPr>
        <w:t xml:space="preserve">people’s </w:t>
      </w:r>
      <w:r w:rsidRPr="00615171">
        <w:rPr>
          <w:rFonts w:asciiTheme="majorBidi" w:hAnsiTheme="majorBidi" w:cstheme="majorBidi"/>
          <w:color w:val="000000" w:themeColor="text1"/>
          <w:sz w:val="24"/>
          <w:szCs w:val="24"/>
        </w:rPr>
        <w:t>eco</w:t>
      </w:r>
      <w:r w:rsidR="00935DC6" w:rsidRPr="00615171">
        <w:rPr>
          <w:rFonts w:asciiTheme="majorBidi" w:hAnsiTheme="majorBidi" w:cstheme="majorBidi"/>
          <w:color w:val="000000" w:themeColor="text1"/>
          <w:sz w:val="24"/>
          <w:szCs w:val="24"/>
        </w:rPr>
        <w:t>nomic status and their health</w:t>
      </w:r>
      <w:r w:rsidRPr="00615171">
        <w:rPr>
          <w:rFonts w:asciiTheme="majorBidi" w:hAnsiTheme="majorBidi" w:cstheme="majorBidi"/>
          <w:color w:val="000000" w:themeColor="text1"/>
          <w:sz w:val="24"/>
          <w:szCs w:val="24"/>
        </w:rPr>
        <w:t>.</w:t>
      </w:r>
      <w:r w:rsidR="00EA225E" w:rsidRPr="00615171">
        <w:rPr>
          <w:rFonts w:asciiTheme="majorBidi" w:hAnsiTheme="majorBidi" w:cstheme="majorBidi"/>
          <w:color w:val="000000" w:themeColor="text1"/>
          <w:sz w:val="24"/>
          <w:szCs w:val="24"/>
        </w:rPr>
        <w:t xml:space="preserve"> </w:t>
      </w:r>
      <w:r w:rsidR="00794C44" w:rsidRPr="00615171">
        <w:rPr>
          <w:rFonts w:asciiTheme="majorBidi" w:hAnsiTheme="majorBidi" w:cstheme="majorBidi"/>
          <w:color w:val="000000" w:themeColor="text1"/>
          <w:sz w:val="24"/>
          <w:szCs w:val="24"/>
        </w:rPr>
        <w:t>Figure</w:t>
      </w:r>
      <w:r w:rsidR="008A66D7" w:rsidRPr="00615171">
        <w:rPr>
          <w:rFonts w:asciiTheme="majorBidi" w:hAnsiTheme="majorBidi" w:cstheme="majorBidi"/>
          <w:color w:val="000000" w:themeColor="text1"/>
          <w:sz w:val="24"/>
          <w:szCs w:val="24"/>
        </w:rPr>
        <w:t xml:space="preserve"> </w:t>
      </w:r>
      <w:r w:rsidR="00847D95" w:rsidRPr="00615171">
        <w:rPr>
          <w:rFonts w:asciiTheme="majorBidi" w:hAnsiTheme="majorBidi" w:cstheme="majorBidi"/>
          <w:color w:val="000000" w:themeColor="text1"/>
          <w:sz w:val="24"/>
          <w:szCs w:val="24"/>
        </w:rPr>
        <w:t>3</w:t>
      </w:r>
      <w:r w:rsidR="00224ED8" w:rsidRPr="00615171">
        <w:rPr>
          <w:rFonts w:asciiTheme="majorBidi" w:hAnsiTheme="majorBidi" w:cstheme="majorBidi"/>
          <w:color w:val="000000" w:themeColor="text1"/>
          <w:sz w:val="24"/>
          <w:szCs w:val="24"/>
        </w:rPr>
        <w:t xml:space="preserve"> </w:t>
      </w:r>
      <w:r w:rsidR="00794C44" w:rsidRPr="00615171">
        <w:rPr>
          <w:rFonts w:asciiTheme="majorBidi" w:hAnsiTheme="majorBidi" w:cstheme="majorBidi"/>
          <w:color w:val="000000" w:themeColor="text1"/>
          <w:sz w:val="24"/>
          <w:szCs w:val="24"/>
        </w:rPr>
        <w:t xml:space="preserve">illustrates </w:t>
      </w:r>
      <w:r w:rsidR="003C6BAC" w:rsidRPr="00615171">
        <w:rPr>
          <w:rFonts w:asciiTheme="majorBidi" w:hAnsiTheme="majorBidi" w:cstheme="majorBidi"/>
          <w:color w:val="000000" w:themeColor="text1"/>
          <w:sz w:val="24"/>
          <w:szCs w:val="24"/>
        </w:rPr>
        <w:t xml:space="preserve">that health inequalities by wealth quintiles are apparent in all </w:t>
      </w:r>
      <w:r w:rsidR="001C26DE" w:rsidRPr="00615171">
        <w:rPr>
          <w:rFonts w:asciiTheme="majorBidi" w:hAnsiTheme="majorBidi" w:cstheme="majorBidi"/>
          <w:color w:val="000000" w:themeColor="text1"/>
          <w:sz w:val="24"/>
          <w:szCs w:val="24"/>
        </w:rPr>
        <w:t xml:space="preserve">groups </w:t>
      </w:r>
      <w:r w:rsidR="00B014F2" w:rsidRPr="00615171">
        <w:rPr>
          <w:rFonts w:asciiTheme="majorBidi" w:hAnsiTheme="majorBidi" w:cstheme="majorBidi"/>
          <w:color w:val="000000" w:themeColor="text1"/>
          <w:sz w:val="24"/>
          <w:szCs w:val="24"/>
        </w:rPr>
        <w:t>aged</w:t>
      </w:r>
      <w:r w:rsidR="001C26DE" w:rsidRPr="00615171">
        <w:rPr>
          <w:rFonts w:asciiTheme="majorBidi" w:hAnsiTheme="majorBidi" w:cstheme="majorBidi"/>
          <w:color w:val="000000" w:themeColor="text1"/>
          <w:sz w:val="24"/>
          <w:szCs w:val="24"/>
        </w:rPr>
        <w:t xml:space="preserve"> 50 </w:t>
      </w:r>
      <w:r w:rsidR="00FB15A8" w:rsidRPr="00615171">
        <w:rPr>
          <w:rFonts w:asciiTheme="majorBidi" w:hAnsiTheme="majorBidi" w:cstheme="majorBidi"/>
          <w:color w:val="000000" w:themeColor="text1"/>
          <w:sz w:val="24"/>
          <w:szCs w:val="24"/>
        </w:rPr>
        <w:t xml:space="preserve">years </w:t>
      </w:r>
      <w:r w:rsidR="001C26DE" w:rsidRPr="00615171">
        <w:rPr>
          <w:rFonts w:asciiTheme="majorBidi" w:hAnsiTheme="majorBidi" w:cstheme="majorBidi"/>
          <w:color w:val="000000" w:themeColor="text1"/>
          <w:sz w:val="24"/>
          <w:szCs w:val="24"/>
        </w:rPr>
        <w:t xml:space="preserve">and over.  For example, taking individuals in </w:t>
      </w:r>
      <w:r w:rsidR="00592F40" w:rsidRPr="00615171">
        <w:rPr>
          <w:rFonts w:asciiTheme="majorBidi" w:hAnsiTheme="majorBidi" w:cstheme="majorBidi"/>
          <w:color w:val="000000" w:themeColor="text1"/>
          <w:sz w:val="24"/>
          <w:szCs w:val="24"/>
        </w:rPr>
        <w:t>the age group 60-64</w:t>
      </w:r>
      <w:r w:rsidR="00B014F2" w:rsidRPr="00615171">
        <w:rPr>
          <w:rFonts w:asciiTheme="majorBidi" w:hAnsiTheme="majorBidi" w:cstheme="majorBidi"/>
          <w:color w:val="000000" w:themeColor="text1"/>
          <w:sz w:val="24"/>
          <w:szCs w:val="24"/>
        </w:rPr>
        <w:t>,</w:t>
      </w:r>
      <w:r w:rsidR="00592F40" w:rsidRPr="00615171">
        <w:rPr>
          <w:rFonts w:asciiTheme="majorBidi" w:hAnsiTheme="majorBidi" w:cstheme="majorBidi"/>
          <w:color w:val="000000" w:themeColor="text1"/>
          <w:sz w:val="24"/>
          <w:szCs w:val="24"/>
        </w:rPr>
        <w:t xml:space="preserve"> </w:t>
      </w:r>
      <w:r w:rsidR="001C26DE" w:rsidRPr="00615171">
        <w:rPr>
          <w:rFonts w:asciiTheme="majorBidi" w:hAnsiTheme="majorBidi" w:cstheme="majorBidi"/>
          <w:color w:val="000000" w:themeColor="text1"/>
          <w:sz w:val="24"/>
          <w:szCs w:val="24"/>
        </w:rPr>
        <w:t xml:space="preserve">almost 45 in </w:t>
      </w:r>
      <w:r w:rsidR="00231EB0" w:rsidRPr="00615171">
        <w:rPr>
          <w:rFonts w:asciiTheme="majorBidi" w:hAnsiTheme="majorBidi" w:cstheme="majorBidi"/>
          <w:color w:val="000000" w:themeColor="text1"/>
          <w:sz w:val="24"/>
          <w:szCs w:val="24"/>
        </w:rPr>
        <w:t>every</w:t>
      </w:r>
      <w:r w:rsidR="001C26DE" w:rsidRPr="00615171">
        <w:rPr>
          <w:rFonts w:asciiTheme="majorBidi" w:hAnsiTheme="majorBidi" w:cstheme="majorBidi"/>
          <w:color w:val="000000" w:themeColor="text1"/>
          <w:sz w:val="24"/>
          <w:szCs w:val="24"/>
        </w:rPr>
        <w:t>100</w:t>
      </w:r>
      <w:r w:rsidR="00231EB0" w:rsidRPr="00615171">
        <w:rPr>
          <w:rFonts w:asciiTheme="majorBidi" w:hAnsiTheme="majorBidi" w:cstheme="majorBidi"/>
          <w:color w:val="000000" w:themeColor="text1"/>
          <w:sz w:val="24"/>
          <w:szCs w:val="24"/>
        </w:rPr>
        <w:t xml:space="preserve"> people</w:t>
      </w:r>
      <w:r w:rsidR="001C26DE" w:rsidRPr="00615171">
        <w:rPr>
          <w:rFonts w:asciiTheme="majorBidi" w:hAnsiTheme="majorBidi" w:cstheme="majorBidi"/>
          <w:color w:val="000000" w:themeColor="text1"/>
          <w:sz w:val="24"/>
          <w:szCs w:val="24"/>
        </w:rPr>
        <w:t xml:space="preserve"> report poor health in the poorest wealth quintile</w:t>
      </w:r>
      <w:r w:rsidR="007E58DC" w:rsidRPr="00615171">
        <w:rPr>
          <w:rFonts w:asciiTheme="majorBidi" w:hAnsiTheme="majorBidi" w:cstheme="majorBidi"/>
          <w:color w:val="000000" w:themeColor="text1"/>
          <w:sz w:val="24"/>
          <w:szCs w:val="24"/>
        </w:rPr>
        <w:t>,</w:t>
      </w:r>
      <w:r w:rsidR="001C26DE" w:rsidRPr="00615171">
        <w:rPr>
          <w:rFonts w:asciiTheme="majorBidi" w:hAnsiTheme="majorBidi" w:cstheme="majorBidi"/>
          <w:color w:val="000000" w:themeColor="text1"/>
          <w:sz w:val="24"/>
          <w:szCs w:val="24"/>
        </w:rPr>
        <w:t xml:space="preserve"> whereas almost 10 in </w:t>
      </w:r>
      <w:r w:rsidR="00231EB0" w:rsidRPr="00615171">
        <w:rPr>
          <w:rFonts w:asciiTheme="majorBidi" w:hAnsiTheme="majorBidi" w:cstheme="majorBidi"/>
          <w:color w:val="000000" w:themeColor="text1"/>
          <w:sz w:val="24"/>
          <w:szCs w:val="24"/>
        </w:rPr>
        <w:t>every</w:t>
      </w:r>
      <w:r w:rsidR="00794C44" w:rsidRPr="00615171">
        <w:rPr>
          <w:rFonts w:asciiTheme="majorBidi" w:hAnsiTheme="majorBidi" w:cstheme="majorBidi"/>
          <w:color w:val="000000" w:themeColor="text1"/>
          <w:sz w:val="24"/>
          <w:szCs w:val="24"/>
        </w:rPr>
        <w:t xml:space="preserve"> </w:t>
      </w:r>
      <w:r w:rsidR="001C26DE" w:rsidRPr="00615171">
        <w:rPr>
          <w:rFonts w:asciiTheme="majorBidi" w:hAnsiTheme="majorBidi" w:cstheme="majorBidi"/>
          <w:color w:val="000000" w:themeColor="text1"/>
          <w:sz w:val="24"/>
          <w:szCs w:val="24"/>
        </w:rPr>
        <w:t>100</w:t>
      </w:r>
      <w:r w:rsidR="00231EB0" w:rsidRPr="00615171">
        <w:rPr>
          <w:rFonts w:asciiTheme="majorBidi" w:hAnsiTheme="majorBidi" w:cstheme="majorBidi"/>
          <w:color w:val="000000" w:themeColor="text1"/>
          <w:sz w:val="24"/>
          <w:szCs w:val="24"/>
        </w:rPr>
        <w:t xml:space="preserve"> people</w:t>
      </w:r>
      <w:r w:rsidR="001C26DE" w:rsidRPr="00615171">
        <w:rPr>
          <w:rFonts w:asciiTheme="majorBidi" w:hAnsiTheme="majorBidi" w:cstheme="majorBidi"/>
          <w:color w:val="000000" w:themeColor="text1"/>
          <w:sz w:val="24"/>
          <w:szCs w:val="24"/>
        </w:rPr>
        <w:t xml:space="preserve"> report poor health in the richest </w:t>
      </w:r>
      <w:r w:rsidR="00592F40" w:rsidRPr="00615171">
        <w:rPr>
          <w:rFonts w:asciiTheme="majorBidi" w:hAnsiTheme="majorBidi" w:cstheme="majorBidi"/>
          <w:color w:val="000000" w:themeColor="text1"/>
          <w:sz w:val="24"/>
          <w:szCs w:val="24"/>
        </w:rPr>
        <w:t>wealth quintile. However, the difference</w:t>
      </w:r>
      <w:r w:rsidR="00B014F2" w:rsidRPr="00615171">
        <w:rPr>
          <w:rFonts w:asciiTheme="majorBidi" w:hAnsiTheme="majorBidi" w:cstheme="majorBidi"/>
          <w:color w:val="000000" w:themeColor="text1"/>
          <w:sz w:val="24"/>
          <w:szCs w:val="24"/>
        </w:rPr>
        <w:t xml:space="preserve"> is</w:t>
      </w:r>
      <w:r w:rsidR="00592F40" w:rsidRPr="00615171">
        <w:rPr>
          <w:rFonts w:asciiTheme="majorBidi" w:hAnsiTheme="majorBidi" w:cstheme="majorBidi"/>
          <w:color w:val="000000" w:themeColor="text1"/>
          <w:sz w:val="24"/>
          <w:szCs w:val="24"/>
        </w:rPr>
        <w:t xml:space="preserve"> reduced in the oldest age groups.</w:t>
      </w:r>
      <w:r w:rsidR="00AB3DCF" w:rsidRPr="00615171">
        <w:rPr>
          <w:rFonts w:asciiTheme="majorBidi" w:hAnsiTheme="majorBidi" w:cstheme="majorBidi"/>
          <w:color w:val="000000" w:themeColor="text1"/>
          <w:sz w:val="24"/>
          <w:szCs w:val="24"/>
        </w:rPr>
        <w:t xml:space="preserve"> </w:t>
      </w:r>
      <w:r w:rsidR="00B014F2" w:rsidRPr="00615171">
        <w:rPr>
          <w:rFonts w:asciiTheme="majorBidi" w:hAnsiTheme="majorBidi" w:cstheme="majorBidi"/>
          <w:color w:val="000000" w:themeColor="text1"/>
          <w:sz w:val="24"/>
          <w:szCs w:val="24"/>
        </w:rPr>
        <w:t>In order t</w:t>
      </w:r>
      <w:r w:rsidR="00AB3DCF" w:rsidRPr="00615171">
        <w:rPr>
          <w:rFonts w:asciiTheme="majorBidi" w:hAnsiTheme="majorBidi" w:cstheme="majorBidi"/>
          <w:color w:val="000000" w:themeColor="text1"/>
          <w:sz w:val="24"/>
          <w:szCs w:val="24"/>
        </w:rPr>
        <w:t xml:space="preserve">o </w:t>
      </w:r>
      <w:r w:rsidR="00AB3DCF" w:rsidRPr="00615171">
        <w:rPr>
          <w:rFonts w:asciiTheme="majorBidi" w:hAnsiTheme="majorBidi" w:cstheme="majorBidi"/>
          <w:color w:val="000000" w:themeColor="text1"/>
          <w:sz w:val="24"/>
          <w:szCs w:val="24"/>
        </w:rPr>
        <w:lastRenderedPageBreak/>
        <w:t>tackle th</w:t>
      </w:r>
      <w:r w:rsidR="00E64E31" w:rsidRPr="00615171">
        <w:rPr>
          <w:rFonts w:asciiTheme="majorBidi" w:hAnsiTheme="majorBidi" w:cstheme="majorBidi"/>
          <w:color w:val="000000" w:themeColor="text1"/>
          <w:sz w:val="24"/>
          <w:szCs w:val="24"/>
        </w:rPr>
        <w:t>ese</w:t>
      </w:r>
      <w:r w:rsidR="00AB3DCF" w:rsidRPr="00615171">
        <w:rPr>
          <w:rFonts w:asciiTheme="majorBidi" w:hAnsiTheme="majorBidi" w:cstheme="majorBidi"/>
          <w:color w:val="000000" w:themeColor="text1"/>
          <w:sz w:val="24"/>
          <w:szCs w:val="24"/>
        </w:rPr>
        <w:t xml:space="preserve"> </w:t>
      </w:r>
      <w:r w:rsidR="00794C44" w:rsidRPr="00615171">
        <w:rPr>
          <w:rFonts w:asciiTheme="majorBidi" w:hAnsiTheme="majorBidi" w:cstheme="majorBidi"/>
          <w:color w:val="000000" w:themeColor="text1"/>
          <w:sz w:val="24"/>
          <w:szCs w:val="24"/>
        </w:rPr>
        <w:t>significant</w:t>
      </w:r>
      <w:r w:rsidR="00AB3DCF" w:rsidRPr="00615171">
        <w:rPr>
          <w:rFonts w:asciiTheme="majorBidi" w:hAnsiTheme="majorBidi" w:cstheme="majorBidi"/>
          <w:color w:val="000000" w:themeColor="text1"/>
          <w:sz w:val="24"/>
          <w:szCs w:val="24"/>
        </w:rPr>
        <w:t xml:space="preserve"> income inequalities in health,</w:t>
      </w:r>
      <w:r w:rsidR="00E64E31" w:rsidRPr="00615171">
        <w:rPr>
          <w:rFonts w:asciiTheme="majorBidi" w:hAnsiTheme="majorBidi" w:cstheme="majorBidi"/>
          <w:color w:val="000000" w:themeColor="text1"/>
          <w:sz w:val="24"/>
          <w:szCs w:val="24"/>
        </w:rPr>
        <w:t xml:space="preserve"> policies</w:t>
      </w:r>
      <w:r w:rsidR="00B014F2" w:rsidRPr="00615171">
        <w:rPr>
          <w:rFonts w:asciiTheme="majorBidi" w:hAnsiTheme="majorBidi" w:cstheme="majorBidi"/>
          <w:color w:val="000000" w:themeColor="text1"/>
          <w:sz w:val="24"/>
          <w:szCs w:val="24"/>
        </w:rPr>
        <w:t xml:space="preserve"> could be devised</w:t>
      </w:r>
      <w:r w:rsidR="00E64E31" w:rsidRPr="00615171">
        <w:rPr>
          <w:rFonts w:asciiTheme="majorBidi" w:hAnsiTheme="majorBidi" w:cstheme="majorBidi"/>
          <w:color w:val="000000" w:themeColor="text1"/>
          <w:sz w:val="24"/>
          <w:szCs w:val="24"/>
        </w:rPr>
        <w:t xml:space="preserve"> </w:t>
      </w:r>
      <w:r w:rsidR="00B014F2" w:rsidRPr="00615171">
        <w:rPr>
          <w:rFonts w:asciiTheme="majorBidi" w:hAnsiTheme="majorBidi" w:cstheme="majorBidi"/>
          <w:color w:val="000000" w:themeColor="text1"/>
          <w:sz w:val="24"/>
          <w:szCs w:val="24"/>
        </w:rPr>
        <w:t>that</w:t>
      </w:r>
      <w:r w:rsidR="00E64E31" w:rsidRPr="00615171">
        <w:rPr>
          <w:rFonts w:asciiTheme="majorBidi" w:hAnsiTheme="majorBidi" w:cstheme="majorBidi"/>
          <w:color w:val="000000" w:themeColor="text1"/>
          <w:sz w:val="24"/>
          <w:szCs w:val="24"/>
        </w:rPr>
        <w:t xml:space="preserve"> ensur</w:t>
      </w:r>
      <w:r w:rsidR="00B014F2" w:rsidRPr="00615171">
        <w:rPr>
          <w:rFonts w:asciiTheme="majorBidi" w:hAnsiTheme="majorBidi" w:cstheme="majorBidi"/>
          <w:color w:val="000000" w:themeColor="text1"/>
          <w:sz w:val="24"/>
          <w:szCs w:val="24"/>
        </w:rPr>
        <w:t>e</w:t>
      </w:r>
      <w:r w:rsidR="00E64E31" w:rsidRPr="00615171">
        <w:rPr>
          <w:rFonts w:asciiTheme="majorBidi" w:hAnsiTheme="majorBidi" w:cstheme="majorBidi"/>
          <w:color w:val="000000" w:themeColor="text1"/>
          <w:sz w:val="24"/>
          <w:szCs w:val="24"/>
        </w:rPr>
        <w:t xml:space="preserve"> a</w:t>
      </w:r>
      <w:r w:rsidR="00AB3DCF" w:rsidRPr="00615171">
        <w:rPr>
          <w:rFonts w:asciiTheme="majorBidi" w:hAnsiTheme="majorBidi" w:cstheme="majorBidi"/>
          <w:color w:val="000000" w:themeColor="text1"/>
          <w:sz w:val="24"/>
          <w:szCs w:val="24"/>
        </w:rPr>
        <w:t xml:space="preserve"> minimum income </w:t>
      </w:r>
      <w:r w:rsidR="00E64E31" w:rsidRPr="00615171">
        <w:rPr>
          <w:rFonts w:asciiTheme="majorBidi" w:hAnsiTheme="majorBidi" w:cstheme="majorBidi"/>
          <w:color w:val="000000" w:themeColor="text1"/>
          <w:sz w:val="24"/>
          <w:szCs w:val="24"/>
        </w:rPr>
        <w:t>for</w:t>
      </w:r>
      <w:r w:rsidR="00B014F2" w:rsidRPr="00615171">
        <w:rPr>
          <w:rFonts w:asciiTheme="majorBidi" w:hAnsiTheme="majorBidi" w:cstheme="majorBidi"/>
          <w:color w:val="000000" w:themeColor="text1"/>
          <w:sz w:val="24"/>
          <w:szCs w:val="24"/>
        </w:rPr>
        <w:t xml:space="preserve"> all to maintain a</w:t>
      </w:r>
      <w:r w:rsidR="00E64E31" w:rsidRPr="00615171">
        <w:rPr>
          <w:rFonts w:asciiTheme="majorBidi" w:hAnsiTheme="majorBidi" w:cstheme="majorBidi"/>
          <w:color w:val="000000" w:themeColor="text1"/>
          <w:sz w:val="24"/>
          <w:szCs w:val="24"/>
        </w:rPr>
        <w:t xml:space="preserve"> healthy standard of living a</w:t>
      </w:r>
      <w:r w:rsidR="00B014F2" w:rsidRPr="00615171">
        <w:rPr>
          <w:rFonts w:asciiTheme="majorBidi" w:hAnsiTheme="majorBidi" w:cstheme="majorBidi"/>
          <w:color w:val="000000" w:themeColor="text1"/>
          <w:sz w:val="24"/>
          <w:szCs w:val="24"/>
        </w:rPr>
        <w:t>long with the introduction of a</w:t>
      </w:r>
      <w:r w:rsidR="00E64E31" w:rsidRPr="00615171">
        <w:rPr>
          <w:rFonts w:asciiTheme="majorBidi" w:hAnsiTheme="majorBidi" w:cstheme="majorBidi"/>
          <w:color w:val="000000" w:themeColor="text1"/>
          <w:sz w:val="24"/>
          <w:szCs w:val="24"/>
        </w:rPr>
        <w:t xml:space="preserve"> progressive tax system (The Marmot Review, 2010).</w:t>
      </w:r>
    </w:p>
    <w:p w14:paraId="491BE0C8" w14:textId="77777777" w:rsidR="00526E2C" w:rsidRPr="00615171" w:rsidRDefault="00526E2C" w:rsidP="00623739">
      <w:pPr>
        <w:spacing w:after="0" w:line="240" w:lineRule="auto"/>
        <w:jc w:val="both"/>
        <w:rPr>
          <w:rFonts w:asciiTheme="majorBidi" w:hAnsiTheme="majorBidi" w:cstheme="majorBidi"/>
          <w:color w:val="000000" w:themeColor="text1"/>
          <w:sz w:val="24"/>
          <w:szCs w:val="24"/>
        </w:rPr>
      </w:pPr>
    </w:p>
    <w:p w14:paraId="48A98720" w14:textId="5BA1A499" w:rsidR="00F077EC" w:rsidRPr="00615171" w:rsidRDefault="00F077EC" w:rsidP="00B01947">
      <w:pPr>
        <w:spacing w:after="0" w:line="240" w:lineRule="auto"/>
        <w:ind w:left="1008" w:hanging="1008"/>
        <w:jc w:val="both"/>
        <w:rPr>
          <w:rFonts w:asciiTheme="majorBidi" w:hAnsiTheme="majorBidi" w:cstheme="majorBidi"/>
          <w:color w:val="000000" w:themeColor="text1"/>
          <w:sz w:val="24"/>
          <w:szCs w:val="24"/>
        </w:rPr>
      </w:pPr>
      <w:r w:rsidRPr="00615171">
        <w:rPr>
          <w:rFonts w:asciiTheme="majorBidi" w:hAnsiTheme="majorBidi" w:cstheme="majorBidi"/>
          <w:b/>
          <w:color w:val="000000" w:themeColor="text1"/>
          <w:sz w:val="24"/>
          <w:szCs w:val="24"/>
        </w:rPr>
        <w:t xml:space="preserve">Figure </w:t>
      </w:r>
      <w:r w:rsidR="00847D95" w:rsidRPr="00615171">
        <w:rPr>
          <w:rFonts w:asciiTheme="majorBidi" w:hAnsiTheme="majorBidi" w:cstheme="majorBidi"/>
          <w:b/>
          <w:color w:val="000000" w:themeColor="text1"/>
          <w:sz w:val="24"/>
          <w:szCs w:val="24"/>
        </w:rPr>
        <w:t>3</w:t>
      </w:r>
      <w:r w:rsidRPr="00615171">
        <w:rPr>
          <w:rFonts w:asciiTheme="majorBidi" w:hAnsiTheme="majorBidi" w:cstheme="majorBidi"/>
          <w:color w:val="000000" w:themeColor="text1"/>
          <w:sz w:val="24"/>
          <w:szCs w:val="24"/>
        </w:rPr>
        <w:t>: Percentage of people aged 50 and over reporting fair/poor health by wealth quintile</w:t>
      </w:r>
      <w:r w:rsidR="00224ED8" w:rsidRPr="00615171">
        <w:rPr>
          <w:rFonts w:asciiTheme="majorBidi" w:hAnsiTheme="majorBidi" w:cstheme="majorBidi"/>
          <w:color w:val="000000" w:themeColor="text1"/>
          <w:sz w:val="24"/>
          <w:szCs w:val="24"/>
        </w:rPr>
        <w:t>s</w:t>
      </w:r>
      <w:r w:rsidR="00B01947" w:rsidRPr="00615171">
        <w:rPr>
          <w:rFonts w:asciiTheme="majorBidi" w:hAnsiTheme="majorBidi" w:cstheme="majorBidi"/>
          <w:color w:val="000000" w:themeColor="text1"/>
          <w:sz w:val="24"/>
          <w:szCs w:val="24"/>
        </w:rPr>
        <w:t xml:space="preserve"> in the UK</w:t>
      </w:r>
      <w:r w:rsidR="005A6471" w:rsidRPr="00615171">
        <w:rPr>
          <w:rFonts w:asciiTheme="majorBidi" w:hAnsiTheme="majorBidi" w:cstheme="majorBidi"/>
          <w:color w:val="000000" w:themeColor="text1"/>
          <w:sz w:val="24"/>
          <w:szCs w:val="24"/>
        </w:rPr>
        <w:t>.</w:t>
      </w:r>
    </w:p>
    <w:p w14:paraId="2AB1B5C9" w14:textId="77777777" w:rsidR="005D5FA7" w:rsidRPr="00615171" w:rsidRDefault="005D5FA7" w:rsidP="00623739">
      <w:pPr>
        <w:spacing w:after="0" w:line="240" w:lineRule="auto"/>
        <w:jc w:val="both"/>
        <w:rPr>
          <w:rFonts w:asciiTheme="majorBidi" w:hAnsiTheme="majorBidi" w:cstheme="majorBidi"/>
          <w:color w:val="000000" w:themeColor="text1"/>
          <w:sz w:val="24"/>
          <w:szCs w:val="24"/>
        </w:rPr>
      </w:pPr>
    </w:p>
    <w:p w14:paraId="7E97ADB7" w14:textId="77777777" w:rsidR="00811CE4" w:rsidRPr="00615171" w:rsidRDefault="00811CE4" w:rsidP="008F154E">
      <w:pPr>
        <w:spacing w:after="0" w:line="240" w:lineRule="auto"/>
        <w:jc w:val="center"/>
        <w:rPr>
          <w:rFonts w:asciiTheme="majorBidi" w:hAnsiTheme="majorBidi" w:cstheme="majorBidi"/>
          <w:color w:val="000000" w:themeColor="text1"/>
          <w:sz w:val="24"/>
          <w:szCs w:val="24"/>
        </w:rPr>
      </w:pPr>
      <w:r w:rsidRPr="00615171">
        <w:rPr>
          <w:rFonts w:asciiTheme="majorBidi" w:hAnsiTheme="majorBidi" w:cstheme="majorBidi"/>
          <w:noProof/>
          <w:color w:val="000000" w:themeColor="text1"/>
          <w:sz w:val="24"/>
          <w:szCs w:val="24"/>
          <w:lang w:val="en-GB" w:eastAsia="zh-CN"/>
        </w:rPr>
        <w:drawing>
          <wp:inline distT="0" distB="0" distL="0" distR="0" wp14:anchorId="63FDCC6E" wp14:editId="1A9894CB">
            <wp:extent cx="4789684" cy="2685536"/>
            <wp:effectExtent l="19050" t="19050" r="10916" b="19564"/>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788245" cy="2684729"/>
                    </a:xfrm>
                    <a:prstGeom prst="rect">
                      <a:avLst/>
                    </a:prstGeom>
                    <a:noFill/>
                    <a:ln w="9525">
                      <a:solidFill>
                        <a:schemeClr val="tx1"/>
                      </a:solidFill>
                      <a:miter lim="800000"/>
                      <a:headEnd/>
                      <a:tailEnd/>
                    </a:ln>
                  </pic:spPr>
                </pic:pic>
              </a:graphicData>
            </a:graphic>
          </wp:inline>
        </w:drawing>
      </w:r>
    </w:p>
    <w:p w14:paraId="6DC1E451" w14:textId="77777777" w:rsidR="008179CC" w:rsidRPr="00615171" w:rsidRDefault="00592F40" w:rsidP="00623739">
      <w:pPr>
        <w:spacing w:after="0" w:line="240" w:lineRule="auto"/>
        <w:ind w:left="720" w:firstLine="720"/>
        <w:jc w:val="both"/>
        <w:rPr>
          <w:rFonts w:asciiTheme="majorBidi" w:hAnsiTheme="majorBidi" w:cstheme="majorBidi"/>
          <w:i/>
          <w:iCs/>
          <w:color w:val="000000" w:themeColor="text1"/>
          <w:sz w:val="24"/>
          <w:szCs w:val="24"/>
        </w:rPr>
      </w:pPr>
      <w:r w:rsidRPr="00615171">
        <w:rPr>
          <w:rFonts w:asciiTheme="majorBidi" w:hAnsiTheme="majorBidi" w:cstheme="majorBidi"/>
          <w:i/>
          <w:iCs/>
          <w:color w:val="000000" w:themeColor="text1"/>
          <w:sz w:val="24"/>
          <w:szCs w:val="24"/>
        </w:rPr>
        <w:t>Source: Marmot (2004)</w:t>
      </w:r>
    </w:p>
    <w:p w14:paraId="5B27FE93" w14:textId="77777777" w:rsidR="0061728B" w:rsidRPr="00615171" w:rsidRDefault="0061728B" w:rsidP="00623739">
      <w:pPr>
        <w:spacing w:after="0" w:line="240" w:lineRule="auto"/>
        <w:jc w:val="both"/>
        <w:rPr>
          <w:rFonts w:asciiTheme="majorBidi" w:hAnsiTheme="majorBidi" w:cstheme="majorBidi"/>
          <w:b/>
          <w:color w:val="000000" w:themeColor="text1"/>
          <w:sz w:val="24"/>
          <w:szCs w:val="24"/>
        </w:rPr>
      </w:pPr>
    </w:p>
    <w:p w14:paraId="19827E30" w14:textId="199D0285" w:rsidR="005A5D43" w:rsidRPr="00615171" w:rsidRDefault="00794C44" w:rsidP="008B6620">
      <w:pPr>
        <w:spacing w:after="0" w:line="240" w:lineRule="auto"/>
        <w:ind w:left="720" w:firstLine="720"/>
        <w:jc w:val="both"/>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t>CORRELATES OF SES INDICATORS AND EDUCATION</w:t>
      </w:r>
    </w:p>
    <w:p w14:paraId="29CBC6DA" w14:textId="77777777" w:rsidR="00794C44" w:rsidRPr="00615171" w:rsidRDefault="00794C44" w:rsidP="008B6620">
      <w:pPr>
        <w:spacing w:after="0" w:line="240" w:lineRule="auto"/>
        <w:ind w:left="720" w:firstLine="720"/>
        <w:jc w:val="both"/>
        <w:rPr>
          <w:rFonts w:asciiTheme="majorBidi" w:hAnsiTheme="majorBidi" w:cstheme="majorBidi"/>
          <w:b/>
          <w:color w:val="000000" w:themeColor="text1"/>
          <w:sz w:val="24"/>
          <w:szCs w:val="24"/>
        </w:rPr>
      </w:pPr>
    </w:p>
    <w:p w14:paraId="285E297E" w14:textId="46CD4110" w:rsidR="0075234A" w:rsidRPr="00615171" w:rsidRDefault="00614338" w:rsidP="00BB5FAC">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One of the most import</w:t>
      </w:r>
      <w:r w:rsidR="000D2751" w:rsidRPr="00615171">
        <w:rPr>
          <w:rFonts w:asciiTheme="majorBidi" w:hAnsiTheme="majorBidi" w:cstheme="majorBidi"/>
          <w:color w:val="000000" w:themeColor="text1"/>
          <w:sz w:val="24"/>
          <w:szCs w:val="24"/>
        </w:rPr>
        <w:t>ant</w:t>
      </w:r>
      <w:r w:rsidRPr="00615171">
        <w:rPr>
          <w:rFonts w:asciiTheme="majorBidi" w:hAnsiTheme="majorBidi" w:cstheme="majorBidi"/>
          <w:color w:val="000000" w:themeColor="text1"/>
          <w:sz w:val="24"/>
          <w:szCs w:val="24"/>
        </w:rPr>
        <w:t xml:space="preserve"> determinant</w:t>
      </w:r>
      <w:r w:rsidR="00087CE3" w:rsidRPr="00615171">
        <w:rPr>
          <w:rFonts w:asciiTheme="majorBidi" w:hAnsiTheme="majorBidi" w:cstheme="majorBidi"/>
          <w:color w:val="000000" w:themeColor="text1"/>
          <w:sz w:val="24"/>
          <w:szCs w:val="24"/>
        </w:rPr>
        <w:t>s</w:t>
      </w:r>
      <w:r w:rsidRPr="00615171">
        <w:rPr>
          <w:rFonts w:asciiTheme="majorBidi" w:hAnsiTheme="majorBidi" w:cstheme="majorBidi"/>
          <w:color w:val="000000" w:themeColor="text1"/>
          <w:sz w:val="24"/>
          <w:szCs w:val="24"/>
        </w:rPr>
        <w:t xml:space="preserve"> of </w:t>
      </w:r>
      <w:r w:rsidR="005178AE" w:rsidRPr="00615171">
        <w:rPr>
          <w:rFonts w:asciiTheme="majorBidi" w:hAnsiTheme="majorBidi" w:cstheme="majorBidi"/>
          <w:color w:val="000000" w:themeColor="text1"/>
          <w:sz w:val="24"/>
          <w:szCs w:val="24"/>
        </w:rPr>
        <w:t xml:space="preserve">the </w:t>
      </w:r>
      <w:r w:rsidRPr="00615171">
        <w:rPr>
          <w:rFonts w:asciiTheme="majorBidi" w:hAnsiTheme="majorBidi" w:cstheme="majorBidi"/>
          <w:color w:val="000000" w:themeColor="text1"/>
          <w:sz w:val="24"/>
          <w:szCs w:val="24"/>
        </w:rPr>
        <w:t>SES-health gradient is education</w:t>
      </w:r>
      <w:r w:rsidR="00E13A77" w:rsidRPr="00615171">
        <w:rPr>
          <w:rFonts w:asciiTheme="majorBidi" w:hAnsiTheme="majorBidi" w:cstheme="majorBidi"/>
          <w:color w:val="000000" w:themeColor="text1"/>
          <w:sz w:val="24"/>
          <w:szCs w:val="24"/>
        </w:rPr>
        <w:t xml:space="preserve"> which</w:t>
      </w:r>
      <w:r w:rsidR="005178AE" w:rsidRPr="00615171">
        <w:rPr>
          <w:rFonts w:asciiTheme="majorBidi" w:hAnsiTheme="majorBidi" w:cstheme="majorBidi"/>
          <w:color w:val="000000" w:themeColor="text1"/>
          <w:sz w:val="24"/>
          <w:szCs w:val="24"/>
        </w:rPr>
        <w:t xml:space="preserve"> is </w:t>
      </w:r>
      <w:r w:rsidR="00935DC6" w:rsidRPr="00615171">
        <w:rPr>
          <w:rFonts w:asciiTheme="majorBidi" w:hAnsiTheme="majorBidi" w:cstheme="majorBidi"/>
          <w:color w:val="000000" w:themeColor="text1"/>
          <w:sz w:val="24"/>
          <w:szCs w:val="24"/>
        </w:rPr>
        <w:t>normally acquire</w:t>
      </w:r>
      <w:r w:rsidR="00D32B21" w:rsidRPr="00615171">
        <w:rPr>
          <w:rFonts w:asciiTheme="majorBidi" w:hAnsiTheme="majorBidi" w:cstheme="majorBidi"/>
          <w:color w:val="000000" w:themeColor="text1"/>
          <w:sz w:val="24"/>
          <w:szCs w:val="24"/>
        </w:rPr>
        <w:t>d</w:t>
      </w:r>
      <w:r w:rsidR="00935DC6" w:rsidRPr="00615171">
        <w:rPr>
          <w:rFonts w:asciiTheme="majorBidi" w:hAnsiTheme="majorBidi" w:cstheme="majorBidi"/>
          <w:color w:val="000000" w:themeColor="text1"/>
          <w:sz w:val="24"/>
          <w:szCs w:val="24"/>
        </w:rPr>
        <w:t xml:space="preserve"> in</w:t>
      </w:r>
      <w:r w:rsidR="009C5276" w:rsidRPr="00615171">
        <w:rPr>
          <w:rFonts w:asciiTheme="majorBidi" w:hAnsiTheme="majorBidi" w:cstheme="majorBidi"/>
          <w:color w:val="000000" w:themeColor="text1"/>
          <w:sz w:val="24"/>
          <w:szCs w:val="24"/>
        </w:rPr>
        <w:t xml:space="preserve"> the</w:t>
      </w:r>
      <w:r w:rsidR="00935DC6" w:rsidRPr="00615171">
        <w:rPr>
          <w:rFonts w:asciiTheme="majorBidi" w:hAnsiTheme="majorBidi" w:cstheme="majorBidi"/>
          <w:color w:val="000000" w:themeColor="text1"/>
          <w:sz w:val="24"/>
          <w:szCs w:val="24"/>
        </w:rPr>
        <w:t xml:space="preserve"> early</w:t>
      </w:r>
      <w:r w:rsidRPr="00615171">
        <w:rPr>
          <w:rFonts w:asciiTheme="majorBidi" w:hAnsiTheme="majorBidi" w:cstheme="majorBidi"/>
          <w:color w:val="000000" w:themeColor="text1"/>
          <w:sz w:val="24"/>
          <w:szCs w:val="24"/>
        </w:rPr>
        <w:t xml:space="preserve"> life</w:t>
      </w:r>
      <w:r w:rsidR="00E13A77"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and so</w:t>
      </w:r>
      <w:r w:rsidR="007E58DC"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5178AE" w:rsidRPr="00615171">
        <w:rPr>
          <w:rFonts w:asciiTheme="majorBidi" w:hAnsiTheme="majorBidi" w:cstheme="majorBidi"/>
          <w:color w:val="000000" w:themeColor="text1"/>
          <w:sz w:val="24"/>
          <w:szCs w:val="24"/>
        </w:rPr>
        <w:t xml:space="preserve">the </w:t>
      </w:r>
      <w:r w:rsidRPr="00615171">
        <w:rPr>
          <w:rFonts w:asciiTheme="majorBidi" w:hAnsiTheme="majorBidi" w:cstheme="majorBidi"/>
          <w:color w:val="000000" w:themeColor="text1"/>
          <w:sz w:val="24"/>
          <w:szCs w:val="24"/>
        </w:rPr>
        <w:t xml:space="preserve">problem of reverse causation </w:t>
      </w:r>
      <w:r w:rsidR="005178AE" w:rsidRPr="00615171">
        <w:rPr>
          <w:rFonts w:asciiTheme="majorBidi" w:hAnsiTheme="majorBidi" w:cstheme="majorBidi"/>
          <w:color w:val="000000" w:themeColor="text1"/>
          <w:sz w:val="24"/>
          <w:szCs w:val="24"/>
        </w:rPr>
        <w:t>is</w:t>
      </w:r>
      <w:r w:rsidRPr="00615171">
        <w:rPr>
          <w:rFonts w:asciiTheme="majorBidi" w:hAnsiTheme="majorBidi" w:cstheme="majorBidi"/>
          <w:color w:val="000000" w:themeColor="text1"/>
          <w:sz w:val="24"/>
          <w:szCs w:val="24"/>
        </w:rPr>
        <w:t xml:space="preserve"> less serious</w:t>
      </w:r>
      <w:r w:rsidR="005178AE" w:rsidRPr="00615171">
        <w:rPr>
          <w:rFonts w:asciiTheme="majorBidi" w:hAnsiTheme="majorBidi" w:cstheme="majorBidi"/>
          <w:color w:val="000000" w:themeColor="text1"/>
          <w:sz w:val="24"/>
          <w:szCs w:val="24"/>
        </w:rPr>
        <w:t xml:space="preserve"> </w:t>
      </w:r>
      <w:r w:rsidR="00087CE3" w:rsidRPr="00615171">
        <w:rPr>
          <w:rFonts w:asciiTheme="majorBidi" w:hAnsiTheme="majorBidi" w:cstheme="majorBidi"/>
          <w:color w:val="000000" w:themeColor="text1"/>
          <w:sz w:val="24"/>
          <w:szCs w:val="24"/>
        </w:rPr>
        <w:t>(Grundy and Hot, 2001)</w:t>
      </w:r>
      <w:r w:rsidRPr="00615171">
        <w:rPr>
          <w:rFonts w:asciiTheme="majorBidi" w:hAnsiTheme="majorBidi" w:cstheme="majorBidi"/>
          <w:color w:val="000000" w:themeColor="text1"/>
          <w:sz w:val="24"/>
          <w:szCs w:val="24"/>
        </w:rPr>
        <w:t>.</w:t>
      </w:r>
      <w:r w:rsidR="00087CE3" w:rsidRPr="00615171">
        <w:rPr>
          <w:rFonts w:asciiTheme="majorBidi" w:hAnsiTheme="majorBidi" w:cstheme="majorBidi"/>
          <w:color w:val="000000" w:themeColor="text1"/>
          <w:sz w:val="24"/>
          <w:szCs w:val="24"/>
        </w:rPr>
        <w:t xml:space="preserve"> Educational attainment </w:t>
      </w:r>
      <w:r w:rsidR="008107FE" w:rsidRPr="00615171">
        <w:rPr>
          <w:rFonts w:asciiTheme="majorBidi" w:hAnsiTheme="majorBidi" w:cstheme="majorBidi"/>
          <w:color w:val="000000" w:themeColor="text1"/>
          <w:sz w:val="24"/>
          <w:szCs w:val="24"/>
        </w:rPr>
        <w:t xml:space="preserve">has been used as a primary indicator of </w:t>
      </w:r>
      <w:r w:rsidR="00087CE3" w:rsidRPr="00615171">
        <w:rPr>
          <w:rFonts w:asciiTheme="majorBidi" w:hAnsiTheme="majorBidi" w:cstheme="majorBidi"/>
          <w:color w:val="000000" w:themeColor="text1"/>
          <w:sz w:val="24"/>
          <w:szCs w:val="24"/>
        </w:rPr>
        <w:t>SES in many studies</w:t>
      </w:r>
      <w:r w:rsidR="00E13A77" w:rsidRPr="00615171">
        <w:rPr>
          <w:rFonts w:asciiTheme="majorBidi" w:hAnsiTheme="majorBidi" w:cstheme="majorBidi"/>
          <w:color w:val="000000" w:themeColor="text1"/>
          <w:sz w:val="24"/>
          <w:szCs w:val="24"/>
        </w:rPr>
        <w:t>,</w:t>
      </w:r>
      <w:r w:rsidR="00087CE3" w:rsidRPr="00615171">
        <w:rPr>
          <w:rFonts w:asciiTheme="majorBidi" w:hAnsiTheme="majorBidi" w:cstheme="majorBidi"/>
          <w:color w:val="000000" w:themeColor="text1"/>
          <w:sz w:val="24"/>
          <w:szCs w:val="24"/>
        </w:rPr>
        <w:t xml:space="preserve"> and</w:t>
      </w:r>
      <w:r w:rsidR="00E13A77" w:rsidRPr="00615171">
        <w:rPr>
          <w:rFonts w:asciiTheme="majorBidi" w:hAnsiTheme="majorBidi" w:cstheme="majorBidi"/>
          <w:color w:val="000000" w:themeColor="text1"/>
          <w:sz w:val="24"/>
          <w:szCs w:val="24"/>
        </w:rPr>
        <w:t xml:space="preserve"> it</w:t>
      </w:r>
      <w:r w:rsidR="008107FE" w:rsidRPr="00615171">
        <w:rPr>
          <w:rFonts w:asciiTheme="majorBidi" w:hAnsiTheme="majorBidi" w:cstheme="majorBidi"/>
          <w:color w:val="000000" w:themeColor="text1"/>
          <w:sz w:val="24"/>
          <w:szCs w:val="24"/>
        </w:rPr>
        <w:t xml:space="preserve"> has played a </w:t>
      </w:r>
      <w:r w:rsidR="00087CE3" w:rsidRPr="00615171">
        <w:rPr>
          <w:rFonts w:asciiTheme="majorBidi" w:hAnsiTheme="majorBidi" w:cstheme="majorBidi"/>
          <w:color w:val="000000" w:themeColor="text1"/>
          <w:sz w:val="24"/>
          <w:szCs w:val="24"/>
        </w:rPr>
        <w:t>pivotal role in th</w:t>
      </w:r>
      <w:r w:rsidR="008107FE" w:rsidRPr="00615171">
        <w:rPr>
          <w:rFonts w:asciiTheme="majorBidi" w:hAnsiTheme="majorBidi" w:cstheme="majorBidi"/>
          <w:color w:val="000000" w:themeColor="text1"/>
          <w:sz w:val="24"/>
          <w:szCs w:val="24"/>
        </w:rPr>
        <w:t xml:space="preserve">e analysis of </w:t>
      </w:r>
      <w:r w:rsidR="005178AE" w:rsidRPr="00615171">
        <w:rPr>
          <w:rFonts w:asciiTheme="majorBidi" w:hAnsiTheme="majorBidi" w:cstheme="majorBidi"/>
          <w:color w:val="000000" w:themeColor="text1"/>
          <w:sz w:val="24"/>
          <w:szCs w:val="24"/>
        </w:rPr>
        <w:t xml:space="preserve">the </w:t>
      </w:r>
      <w:r w:rsidR="008107FE" w:rsidRPr="00615171">
        <w:rPr>
          <w:rFonts w:asciiTheme="majorBidi" w:hAnsiTheme="majorBidi" w:cstheme="majorBidi"/>
          <w:color w:val="000000" w:themeColor="text1"/>
          <w:sz w:val="24"/>
          <w:szCs w:val="24"/>
        </w:rPr>
        <w:t xml:space="preserve">SES-health gradient particularly for </w:t>
      </w:r>
      <w:r w:rsidR="007E58DC" w:rsidRPr="00615171">
        <w:rPr>
          <w:rFonts w:asciiTheme="majorBidi" w:hAnsiTheme="majorBidi" w:cstheme="majorBidi"/>
          <w:color w:val="000000" w:themeColor="text1"/>
          <w:sz w:val="24"/>
          <w:szCs w:val="24"/>
        </w:rPr>
        <w:t xml:space="preserve">the </w:t>
      </w:r>
      <w:r w:rsidR="008107FE" w:rsidRPr="00615171">
        <w:rPr>
          <w:rFonts w:asciiTheme="majorBidi" w:hAnsiTheme="majorBidi" w:cstheme="majorBidi"/>
          <w:color w:val="000000" w:themeColor="text1"/>
          <w:sz w:val="24"/>
          <w:szCs w:val="24"/>
        </w:rPr>
        <w:t>older people</w:t>
      </w:r>
      <w:r w:rsidR="00087CE3" w:rsidRPr="00615171">
        <w:rPr>
          <w:rFonts w:asciiTheme="majorBidi" w:hAnsiTheme="majorBidi" w:cstheme="majorBidi"/>
          <w:color w:val="000000" w:themeColor="text1"/>
          <w:sz w:val="24"/>
          <w:szCs w:val="24"/>
        </w:rPr>
        <w:t>.</w:t>
      </w:r>
      <w:r w:rsidR="00F96828" w:rsidRPr="00615171">
        <w:rPr>
          <w:rFonts w:asciiTheme="majorBidi" w:hAnsiTheme="majorBidi" w:cstheme="majorBidi"/>
          <w:color w:val="000000" w:themeColor="text1"/>
          <w:sz w:val="24"/>
          <w:szCs w:val="24"/>
        </w:rPr>
        <w:t xml:space="preserve"> Elo and Preston (1996) </w:t>
      </w:r>
      <w:r w:rsidR="0079292B" w:rsidRPr="00615171">
        <w:rPr>
          <w:rFonts w:asciiTheme="majorBidi" w:hAnsiTheme="majorBidi" w:cstheme="majorBidi"/>
          <w:color w:val="000000" w:themeColor="text1"/>
          <w:sz w:val="24"/>
          <w:szCs w:val="24"/>
        </w:rPr>
        <w:t>reported</w:t>
      </w:r>
      <w:r w:rsidR="000D2751" w:rsidRPr="00615171">
        <w:rPr>
          <w:rFonts w:asciiTheme="majorBidi" w:hAnsiTheme="majorBidi" w:cstheme="majorBidi"/>
          <w:color w:val="000000" w:themeColor="text1"/>
          <w:sz w:val="24"/>
          <w:szCs w:val="24"/>
        </w:rPr>
        <w:t xml:space="preserve"> that education is focused </w:t>
      </w:r>
      <w:r w:rsidR="005178AE" w:rsidRPr="00615171">
        <w:rPr>
          <w:rFonts w:asciiTheme="majorBidi" w:hAnsiTheme="majorBidi" w:cstheme="majorBidi"/>
          <w:color w:val="000000" w:themeColor="text1"/>
          <w:sz w:val="24"/>
          <w:szCs w:val="24"/>
        </w:rPr>
        <w:t>on</w:t>
      </w:r>
      <w:r w:rsidR="000D2751" w:rsidRPr="00615171">
        <w:rPr>
          <w:rFonts w:asciiTheme="majorBidi" w:hAnsiTheme="majorBidi" w:cstheme="majorBidi"/>
          <w:color w:val="000000" w:themeColor="text1"/>
          <w:sz w:val="24"/>
          <w:szCs w:val="24"/>
        </w:rPr>
        <w:t xml:space="preserve"> </w:t>
      </w:r>
      <w:r w:rsidR="008107FE" w:rsidRPr="00615171">
        <w:rPr>
          <w:rFonts w:asciiTheme="majorBidi" w:hAnsiTheme="majorBidi" w:cstheme="majorBidi"/>
          <w:color w:val="000000" w:themeColor="text1"/>
          <w:sz w:val="24"/>
          <w:szCs w:val="24"/>
        </w:rPr>
        <w:t>two rationales: firstly, it can be applied</w:t>
      </w:r>
      <w:r w:rsidR="004873F9" w:rsidRPr="00615171">
        <w:rPr>
          <w:rFonts w:asciiTheme="majorBidi" w:hAnsiTheme="majorBidi" w:cstheme="majorBidi"/>
          <w:color w:val="000000" w:themeColor="text1"/>
          <w:sz w:val="24"/>
          <w:szCs w:val="24"/>
        </w:rPr>
        <w:t xml:space="preserve"> to</w:t>
      </w:r>
      <w:r w:rsidR="000D2751" w:rsidRPr="00615171">
        <w:rPr>
          <w:rFonts w:asciiTheme="majorBidi" w:hAnsiTheme="majorBidi" w:cstheme="majorBidi"/>
          <w:color w:val="000000" w:themeColor="text1"/>
          <w:sz w:val="24"/>
          <w:szCs w:val="24"/>
        </w:rPr>
        <w:t xml:space="preserve"> both working and </w:t>
      </w:r>
      <w:r w:rsidR="008107FE" w:rsidRPr="00615171">
        <w:rPr>
          <w:rFonts w:asciiTheme="majorBidi" w:hAnsiTheme="majorBidi" w:cstheme="majorBidi"/>
          <w:color w:val="000000" w:themeColor="text1"/>
          <w:sz w:val="24"/>
          <w:szCs w:val="24"/>
        </w:rPr>
        <w:t>non-working people</w:t>
      </w:r>
      <w:r w:rsidR="007E58DC" w:rsidRPr="00615171">
        <w:rPr>
          <w:rFonts w:asciiTheme="majorBidi" w:hAnsiTheme="majorBidi" w:cstheme="majorBidi"/>
          <w:color w:val="000000" w:themeColor="text1"/>
          <w:sz w:val="24"/>
          <w:szCs w:val="24"/>
        </w:rPr>
        <w:t>,</w:t>
      </w:r>
      <w:r w:rsidR="008107FE" w:rsidRPr="00615171">
        <w:rPr>
          <w:rFonts w:asciiTheme="majorBidi" w:hAnsiTheme="majorBidi" w:cstheme="majorBidi"/>
          <w:color w:val="000000" w:themeColor="text1"/>
          <w:sz w:val="24"/>
          <w:szCs w:val="24"/>
        </w:rPr>
        <w:t xml:space="preserve"> and secondly, it is more plausible exogenous</w:t>
      </w:r>
      <w:r w:rsidR="005178AE" w:rsidRPr="00615171">
        <w:rPr>
          <w:rFonts w:asciiTheme="majorBidi" w:hAnsiTheme="majorBidi" w:cstheme="majorBidi"/>
          <w:color w:val="000000" w:themeColor="text1"/>
          <w:sz w:val="24"/>
          <w:szCs w:val="24"/>
        </w:rPr>
        <w:t>ly</w:t>
      </w:r>
      <w:r w:rsidR="004873F9" w:rsidRPr="00615171">
        <w:rPr>
          <w:rFonts w:asciiTheme="majorBidi" w:hAnsiTheme="majorBidi" w:cstheme="majorBidi"/>
          <w:color w:val="000000" w:themeColor="text1"/>
          <w:sz w:val="24"/>
          <w:szCs w:val="24"/>
        </w:rPr>
        <w:t xml:space="preserve"> compare</w:t>
      </w:r>
      <w:r w:rsidR="005178AE" w:rsidRPr="00615171">
        <w:rPr>
          <w:rFonts w:asciiTheme="majorBidi" w:hAnsiTheme="majorBidi" w:cstheme="majorBidi"/>
          <w:color w:val="000000" w:themeColor="text1"/>
          <w:sz w:val="24"/>
          <w:szCs w:val="24"/>
        </w:rPr>
        <w:t>d</w:t>
      </w:r>
      <w:r w:rsidR="004873F9" w:rsidRPr="00615171">
        <w:rPr>
          <w:rFonts w:asciiTheme="majorBidi" w:hAnsiTheme="majorBidi" w:cstheme="majorBidi"/>
          <w:color w:val="000000" w:themeColor="text1"/>
          <w:sz w:val="24"/>
          <w:szCs w:val="24"/>
        </w:rPr>
        <w:t xml:space="preserve"> to income and occupation </w:t>
      </w:r>
      <w:r w:rsidR="005178AE" w:rsidRPr="00615171">
        <w:rPr>
          <w:rFonts w:asciiTheme="majorBidi" w:hAnsiTheme="majorBidi" w:cstheme="majorBidi"/>
          <w:color w:val="000000" w:themeColor="text1"/>
          <w:sz w:val="24"/>
          <w:szCs w:val="24"/>
        </w:rPr>
        <w:t>for</w:t>
      </w:r>
      <w:r w:rsidR="004873F9" w:rsidRPr="00615171">
        <w:rPr>
          <w:rFonts w:asciiTheme="majorBidi" w:hAnsiTheme="majorBidi" w:cstheme="majorBidi"/>
          <w:color w:val="000000" w:themeColor="text1"/>
          <w:sz w:val="24"/>
          <w:szCs w:val="24"/>
        </w:rPr>
        <w:t xml:space="preserve"> the study of adult health.</w:t>
      </w:r>
      <w:r w:rsidR="00AB115B" w:rsidRPr="00615171">
        <w:rPr>
          <w:rFonts w:asciiTheme="majorBidi" w:hAnsiTheme="majorBidi" w:cstheme="majorBidi"/>
          <w:color w:val="000000" w:themeColor="text1"/>
          <w:sz w:val="24"/>
          <w:szCs w:val="24"/>
        </w:rPr>
        <w:t xml:space="preserve"> Education can affect health th</w:t>
      </w:r>
      <w:r w:rsidR="000D2751" w:rsidRPr="00615171">
        <w:rPr>
          <w:rFonts w:asciiTheme="majorBidi" w:hAnsiTheme="majorBidi" w:cstheme="majorBidi"/>
          <w:color w:val="000000" w:themeColor="text1"/>
          <w:sz w:val="24"/>
          <w:szCs w:val="24"/>
        </w:rPr>
        <w:t>r</w:t>
      </w:r>
      <w:r w:rsidR="00AB115B" w:rsidRPr="00615171">
        <w:rPr>
          <w:rFonts w:asciiTheme="majorBidi" w:hAnsiTheme="majorBidi" w:cstheme="majorBidi"/>
          <w:color w:val="000000" w:themeColor="text1"/>
          <w:sz w:val="24"/>
          <w:szCs w:val="24"/>
        </w:rPr>
        <w:t xml:space="preserve">ough a number of </w:t>
      </w:r>
      <w:r w:rsidR="00094D96" w:rsidRPr="00615171">
        <w:rPr>
          <w:rFonts w:asciiTheme="majorBidi" w:hAnsiTheme="majorBidi" w:cstheme="majorBidi"/>
          <w:color w:val="000000" w:themeColor="text1"/>
          <w:sz w:val="24"/>
          <w:szCs w:val="24"/>
        </w:rPr>
        <w:t>path</w:t>
      </w:r>
      <w:r w:rsidR="00AB115B" w:rsidRPr="00615171">
        <w:rPr>
          <w:rFonts w:asciiTheme="majorBidi" w:hAnsiTheme="majorBidi" w:cstheme="majorBidi"/>
          <w:color w:val="000000" w:themeColor="text1"/>
          <w:sz w:val="24"/>
          <w:szCs w:val="24"/>
        </w:rPr>
        <w:t>ways</w:t>
      </w:r>
      <w:r w:rsidR="005178AE" w:rsidRPr="00615171">
        <w:rPr>
          <w:rFonts w:asciiTheme="majorBidi" w:hAnsiTheme="majorBidi" w:cstheme="majorBidi"/>
          <w:color w:val="000000" w:themeColor="text1"/>
          <w:sz w:val="24"/>
          <w:szCs w:val="24"/>
        </w:rPr>
        <w:t>,</w:t>
      </w:r>
      <w:r w:rsidR="00094D96" w:rsidRPr="00615171">
        <w:rPr>
          <w:rFonts w:asciiTheme="majorBidi" w:hAnsiTheme="majorBidi" w:cstheme="majorBidi"/>
          <w:color w:val="000000" w:themeColor="text1"/>
          <w:sz w:val="24"/>
          <w:szCs w:val="24"/>
        </w:rPr>
        <w:t xml:space="preserve"> for instance, lifestyle</w:t>
      </w:r>
      <w:r w:rsidR="005178AE" w:rsidRPr="00615171">
        <w:rPr>
          <w:rFonts w:asciiTheme="majorBidi" w:hAnsiTheme="majorBidi" w:cstheme="majorBidi"/>
          <w:color w:val="000000" w:themeColor="text1"/>
          <w:sz w:val="24"/>
          <w:szCs w:val="24"/>
        </w:rPr>
        <w:t>;</w:t>
      </w:r>
      <w:r w:rsidR="00094D96" w:rsidRPr="00615171">
        <w:rPr>
          <w:rFonts w:asciiTheme="majorBidi" w:hAnsiTheme="majorBidi" w:cstheme="majorBidi"/>
          <w:color w:val="000000" w:themeColor="text1"/>
          <w:sz w:val="24"/>
          <w:szCs w:val="24"/>
        </w:rPr>
        <w:t xml:space="preserve"> behavioural fact</w:t>
      </w:r>
      <w:r w:rsidR="005178AE" w:rsidRPr="00615171">
        <w:rPr>
          <w:rFonts w:asciiTheme="majorBidi" w:hAnsiTheme="majorBidi" w:cstheme="majorBidi"/>
          <w:color w:val="000000" w:themeColor="text1"/>
          <w:sz w:val="24"/>
          <w:szCs w:val="24"/>
        </w:rPr>
        <w:t>or</w:t>
      </w:r>
      <w:r w:rsidR="00094D96" w:rsidRPr="00615171">
        <w:rPr>
          <w:rFonts w:asciiTheme="majorBidi" w:hAnsiTheme="majorBidi" w:cstheme="majorBidi"/>
          <w:color w:val="000000" w:themeColor="text1"/>
          <w:sz w:val="24"/>
          <w:szCs w:val="24"/>
        </w:rPr>
        <w:t>s</w:t>
      </w:r>
      <w:r w:rsidR="005178AE" w:rsidRPr="00615171">
        <w:rPr>
          <w:rFonts w:asciiTheme="majorBidi" w:hAnsiTheme="majorBidi" w:cstheme="majorBidi"/>
          <w:color w:val="000000" w:themeColor="text1"/>
          <w:sz w:val="24"/>
          <w:szCs w:val="24"/>
        </w:rPr>
        <w:t>;</w:t>
      </w:r>
      <w:r w:rsidR="00094D96" w:rsidRPr="00615171">
        <w:rPr>
          <w:rFonts w:asciiTheme="majorBidi" w:hAnsiTheme="majorBidi" w:cstheme="majorBidi"/>
          <w:color w:val="000000" w:themeColor="text1"/>
          <w:sz w:val="24"/>
          <w:szCs w:val="24"/>
        </w:rPr>
        <w:t xml:space="preserve"> stress management</w:t>
      </w:r>
      <w:r w:rsidR="005178AE" w:rsidRPr="00615171">
        <w:rPr>
          <w:rFonts w:asciiTheme="majorBidi" w:hAnsiTheme="majorBidi" w:cstheme="majorBidi"/>
          <w:color w:val="000000" w:themeColor="text1"/>
          <w:sz w:val="24"/>
          <w:szCs w:val="24"/>
        </w:rPr>
        <w:t>;</w:t>
      </w:r>
      <w:r w:rsidR="00094D96" w:rsidRPr="00615171">
        <w:rPr>
          <w:rFonts w:asciiTheme="majorBidi" w:hAnsiTheme="majorBidi" w:cstheme="majorBidi"/>
          <w:color w:val="000000" w:themeColor="text1"/>
          <w:sz w:val="24"/>
          <w:szCs w:val="24"/>
        </w:rPr>
        <w:t xml:space="preserve"> problem solving ability and </w:t>
      </w:r>
      <w:r w:rsidR="00700CBF" w:rsidRPr="00615171">
        <w:rPr>
          <w:rFonts w:asciiTheme="majorBidi" w:hAnsiTheme="majorBidi" w:cstheme="majorBidi"/>
          <w:color w:val="000000" w:themeColor="text1"/>
          <w:sz w:val="24"/>
          <w:szCs w:val="24"/>
        </w:rPr>
        <w:t xml:space="preserve">maintaining </w:t>
      </w:r>
      <w:r w:rsidR="00094D96" w:rsidRPr="00615171">
        <w:rPr>
          <w:rFonts w:asciiTheme="majorBidi" w:hAnsiTheme="majorBidi" w:cstheme="majorBidi"/>
          <w:color w:val="000000" w:themeColor="text1"/>
          <w:sz w:val="24"/>
          <w:szCs w:val="24"/>
        </w:rPr>
        <w:t xml:space="preserve">social relations. </w:t>
      </w:r>
      <w:r w:rsidR="00517324" w:rsidRPr="00615171">
        <w:rPr>
          <w:rFonts w:asciiTheme="majorBidi" w:hAnsiTheme="majorBidi" w:cstheme="majorBidi"/>
          <w:color w:val="000000" w:themeColor="text1"/>
          <w:sz w:val="24"/>
          <w:szCs w:val="24"/>
        </w:rPr>
        <w:t xml:space="preserve">A number of key </w:t>
      </w:r>
      <w:r w:rsidR="00606620" w:rsidRPr="00615171">
        <w:rPr>
          <w:rFonts w:asciiTheme="majorBidi" w:hAnsiTheme="majorBidi" w:cstheme="majorBidi"/>
          <w:color w:val="000000" w:themeColor="text1"/>
          <w:sz w:val="24"/>
          <w:szCs w:val="24"/>
        </w:rPr>
        <w:t>reports</w:t>
      </w:r>
      <w:r w:rsidR="00517324" w:rsidRPr="00615171">
        <w:rPr>
          <w:rFonts w:asciiTheme="majorBidi" w:hAnsiTheme="majorBidi" w:cstheme="majorBidi"/>
          <w:color w:val="000000" w:themeColor="text1"/>
          <w:sz w:val="24"/>
          <w:szCs w:val="24"/>
        </w:rPr>
        <w:t xml:space="preserve"> (Aldridge and Lavender, 2000; Schuller and Watson, 2009</w:t>
      </w:r>
      <w:r w:rsidR="00606620" w:rsidRPr="00615171">
        <w:rPr>
          <w:rFonts w:asciiTheme="majorBidi" w:hAnsiTheme="majorBidi" w:cstheme="majorBidi"/>
          <w:color w:val="000000" w:themeColor="text1"/>
          <w:sz w:val="24"/>
          <w:szCs w:val="24"/>
        </w:rPr>
        <w:t>,</w:t>
      </w:r>
      <w:r w:rsidR="00517324" w:rsidRPr="00615171">
        <w:rPr>
          <w:rFonts w:asciiTheme="majorBidi" w:hAnsiTheme="majorBidi" w:cstheme="majorBidi"/>
          <w:color w:val="000000" w:themeColor="text1"/>
          <w:sz w:val="24"/>
          <w:szCs w:val="24"/>
        </w:rPr>
        <w:t>) have made considerable links between education and learning that takes place in later life</w:t>
      </w:r>
      <w:r w:rsidR="00606620" w:rsidRPr="00615171">
        <w:rPr>
          <w:rFonts w:asciiTheme="majorBidi" w:hAnsiTheme="majorBidi" w:cstheme="majorBidi"/>
          <w:color w:val="000000" w:themeColor="text1"/>
          <w:sz w:val="24"/>
          <w:szCs w:val="24"/>
        </w:rPr>
        <w:t xml:space="preserve"> itself and in linking good health to </w:t>
      </w:r>
      <w:r w:rsidR="0037617B" w:rsidRPr="00615171">
        <w:rPr>
          <w:rFonts w:asciiTheme="majorBidi" w:hAnsiTheme="majorBidi" w:cstheme="majorBidi"/>
          <w:color w:val="000000" w:themeColor="text1"/>
          <w:sz w:val="24"/>
          <w:szCs w:val="24"/>
        </w:rPr>
        <w:t xml:space="preserve">increased </w:t>
      </w:r>
      <w:r w:rsidR="00606620" w:rsidRPr="00615171">
        <w:rPr>
          <w:rFonts w:asciiTheme="majorBidi" w:hAnsiTheme="majorBidi" w:cstheme="majorBidi"/>
          <w:color w:val="000000" w:themeColor="text1"/>
          <w:sz w:val="24"/>
          <w:szCs w:val="24"/>
        </w:rPr>
        <w:t xml:space="preserve">participation and empowerment as well as in making improvements for individuals in health knowledge, </w:t>
      </w:r>
      <w:r w:rsidR="0037617B" w:rsidRPr="00615171">
        <w:rPr>
          <w:rFonts w:asciiTheme="majorBidi" w:hAnsiTheme="majorBidi" w:cstheme="majorBidi"/>
          <w:color w:val="000000" w:themeColor="text1"/>
          <w:sz w:val="24"/>
          <w:szCs w:val="24"/>
        </w:rPr>
        <w:t xml:space="preserve">promoting their own </w:t>
      </w:r>
      <w:r w:rsidR="00606620" w:rsidRPr="00615171">
        <w:rPr>
          <w:rFonts w:asciiTheme="majorBidi" w:hAnsiTheme="majorBidi" w:cstheme="majorBidi"/>
          <w:color w:val="000000" w:themeColor="text1"/>
          <w:sz w:val="24"/>
          <w:szCs w:val="24"/>
        </w:rPr>
        <w:t xml:space="preserve">mental health, </w:t>
      </w:r>
      <w:r w:rsidR="0037617B" w:rsidRPr="00615171">
        <w:rPr>
          <w:rFonts w:asciiTheme="majorBidi" w:hAnsiTheme="majorBidi" w:cstheme="majorBidi"/>
          <w:color w:val="000000" w:themeColor="text1"/>
          <w:sz w:val="24"/>
          <w:szCs w:val="24"/>
        </w:rPr>
        <w:t xml:space="preserve">and </w:t>
      </w:r>
      <w:r w:rsidR="00606620" w:rsidRPr="00615171">
        <w:rPr>
          <w:rFonts w:asciiTheme="majorBidi" w:hAnsiTheme="majorBidi" w:cstheme="majorBidi"/>
          <w:color w:val="000000" w:themeColor="text1"/>
          <w:sz w:val="24"/>
          <w:szCs w:val="24"/>
        </w:rPr>
        <w:t>i</w:t>
      </w:r>
      <w:r w:rsidR="0037617B" w:rsidRPr="00615171">
        <w:rPr>
          <w:rFonts w:asciiTheme="majorBidi" w:hAnsiTheme="majorBidi" w:cstheme="majorBidi"/>
          <w:color w:val="000000" w:themeColor="text1"/>
          <w:sz w:val="24"/>
          <w:szCs w:val="24"/>
        </w:rPr>
        <w:t>mproving</w:t>
      </w:r>
      <w:r w:rsidR="00606620" w:rsidRPr="00615171">
        <w:rPr>
          <w:rFonts w:asciiTheme="majorBidi" w:hAnsiTheme="majorBidi" w:cstheme="majorBidi"/>
          <w:color w:val="000000" w:themeColor="text1"/>
          <w:sz w:val="24"/>
          <w:szCs w:val="24"/>
        </w:rPr>
        <w:t xml:space="preserve"> cognitive performance and </w:t>
      </w:r>
      <w:r w:rsidR="0037617B" w:rsidRPr="00615171">
        <w:rPr>
          <w:rFonts w:asciiTheme="majorBidi" w:hAnsiTheme="majorBidi" w:cstheme="majorBidi"/>
          <w:color w:val="000000" w:themeColor="text1"/>
          <w:sz w:val="24"/>
          <w:szCs w:val="24"/>
        </w:rPr>
        <w:t xml:space="preserve">achieving </w:t>
      </w:r>
      <w:r w:rsidR="00606620" w:rsidRPr="00615171">
        <w:rPr>
          <w:rFonts w:asciiTheme="majorBidi" w:hAnsiTheme="majorBidi" w:cstheme="majorBidi"/>
          <w:color w:val="000000" w:themeColor="text1"/>
          <w:sz w:val="24"/>
          <w:szCs w:val="24"/>
        </w:rPr>
        <w:t xml:space="preserve">a reduced risk of dementia.  As far as the actual quantitative evidence Jenkins (2011) used the English </w:t>
      </w:r>
      <w:r w:rsidR="0037617B" w:rsidRPr="00615171">
        <w:rPr>
          <w:rFonts w:asciiTheme="majorBidi" w:hAnsiTheme="majorBidi" w:cstheme="majorBidi"/>
          <w:color w:val="000000" w:themeColor="text1"/>
          <w:sz w:val="24"/>
          <w:szCs w:val="24"/>
        </w:rPr>
        <w:t>Longitudinal</w:t>
      </w:r>
      <w:r w:rsidR="00606620" w:rsidRPr="00615171">
        <w:rPr>
          <w:rFonts w:asciiTheme="majorBidi" w:hAnsiTheme="majorBidi" w:cstheme="majorBidi"/>
          <w:color w:val="000000" w:themeColor="text1"/>
          <w:sz w:val="24"/>
          <w:szCs w:val="24"/>
        </w:rPr>
        <w:t xml:space="preserve"> Study of Ageing to consider the health and wellbeing benefits of </w:t>
      </w:r>
      <w:r w:rsidR="0037617B" w:rsidRPr="00615171">
        <w:rPr>
          <w:rFonts w:asciiTheme="majorBidi" w:hAnsiTheme="majorBidi" w:cstheme="majorBidi"/>
          <w:color w:val="000000" w:themeColor="text1"/>
          <w:sz w:val="24"/>
          <w:szCs w:val="24"/>
        </w:rPr>
        <w:t xml:space="preserve">learning in </w:t>
      </w:r>
      <w:r w:rsidR="00606620" w:rsidRPr="00615171">
        <w:rPr>
          <w:rFonts w:asciiTheme="majorBidi" w:hAnsiTheme="majorBidi" w:cstheme="majorBidi"/>
          <w:color w:val="000000" w:themeColor="text1"/>
          <w:sz w:val="24"/>
          <w:szCs w:val="24"/>
        </w:rPr>
        <w:t xml:space="preserve">later life.  Studies on participation rates have found that </w:t>
      </w:r>
      <w:r w:rsidR="0037617B" w:rsidRPr="00615171">
        <w:rPr>
          <w:rFonts w:asciiTheme="majorBidi" w:hAnsiTheme="majorBidi" w:cstheme="majorBidi"/>
          <w:color w:val="000000" w:themeColor="text1"/>
          <w:sz w:val="24"/>
          <w:szCs w:val="24"/>
        </w:rPr>
        <w:t>the single most salient feature of participation in learning and education data for later</w:t>
      </w:r>
      <w:r w:rsidR="00606620" w:rsidRPr="00615171">
        <w:rPr>
          <w:rFonts w:asciiTheme="majorBidi" w:hAnsiTheme="majorBidi" w:cstheme="majorBidi"/>
          <w:color w:val="000000" w:themeColor="text1"/>
          <w:sz w:val="24"/>
          <w:szCs w:val="24"/>
        </w:rPr>
        <w:t xml:space="preserve"> life </w:t>
      </w:r>
      <w:r w:rsidR="0037617B" w:rsidRPr="00615171">
        <w:rPr>
          <w:rFonts w:asciiTheme="majorBidi" w:hAnsiTheme="majorBidi" w:cstheme="majorBidi"/>
          <w:color w:val="000000" w:themeColor="text1"/>
          <w:sz w:val="24"/>
          <w:szCs w:val="24"/>
        </w:rPr>
        <w:t xml:space="preserve">is that participation continues to be very closely related to social class.  A series of indicators all point constantly and unambiguously in the same direction.  These are not only the direct measure of SES but all those related factors such as highest level of qualification, income and occupational status so that the higher SES, the </w:t>
      </w:r>
      <w:r w:rsidR="0037617B" w:rsidRPr="00615171">
        <w:rPr>
          <w:rFonts w:asciiTheme="majorBidi" w:hAnsiTheme="majorBidi" w:cstheme="majorBidi"/>
          <w:color w:val="000000" w:themeColor="text1"/>
          <w:sz w:val="24"/>
          <w:szCs w:val="24"/>
        </w:rPr>
        <w:lastRenderedPageBreak/>
        <w:t>more likely you are to continue to access education in later life.</w:t>
      </w:r>
      <w:r w:rsidR="00606620" w:rsidRPr="00615171">
        <w:rPr>
          <w:rFonts w:asciiTheme="majorBidi" w:hAnsiTheme="majorBidi" w:cstheme="majorBidi"/>
          <w:color w:val="000000" w:themeColor="text1"/>
          <w:sz w:val="24"/>
          <w:szCs w:val="24"/>
        </w:rPr>
        <w:t xml:space="preserve">is also more likely to be taken up by those with higher SES (NIACE, </w:t>
      </w:r>
      <w:r w:rsidR="0037617B" w:rsidRPr="00615171">
        <w:rPr>
          <w:rFonts w:asciiTheme="majorBidi" w:hAnsiTheme="majorBidi" w:cstheme="majorBidi"/>
          <w:color w:val="000000" w:themeColor="text1"/>
          <w:sz w:val="24"/>
          <w:szCs w:val="24"/>
        </w:rPr>
        <w:t>2009). T</w:t>
      </w:r>
      <w:r w:rsidR="00094D96" w:rsidRPr="00615171">
        <w:rPr>
          <w:rFonts w:asciiTheme="majorBidi" w:hAnsiTheme="majorBidi" w:cstheme="majorBidi"/>
          <w:color w:val="000000" w:themeColor="text1"/>
          <w:sz w:val="24"/>
          <w:szCs w:val="24"/>
        </w:rPr>
        <w:t>he more educated people are</w:t>
      </w:r>
      <w:r w:rsidR="005178AE" w:rsidRPr="00615171">
        <w:rPr>
          <w:rFonts w:asciiTheme="majorBidi" w:hAnsiTheme="majorBidi" w:cstheme="majorBidi"/>
          <w:color w:val="000000" w:themeColor="text1"/>
          <w:sz w:val="24"/>
          <w:szCs w:val="24"/>
        </w:rPr>
        <w:t xml:space="preserve"> then the</w:t>
      </w:r>
      <w:r w:rsidR="00094D96" w:rsidRPr="00615171">
        <w:rPr>
          <w:rFonts w:asciiTheme="majorBidi" w:hAnsiTheme="majorBidi" w:cstheme="majorBidi"/>
          <w:color w:val="000000" w:themeColor="text1"/>
          <w:sz w:val="24"/>
          <w:szCs w:val="24"/>
        </w:rPr>
        <w:t xml:space="preserve"> less like</w:t>
      </w:r>
      <w:r w:rsidR="000D2751" w:rsidRPr="00615171">
        <w:rPr>
          <w:rFonts w:asciiTheme="majorBidi" w:hAnsiTheme="majorBidi" w:cstheme="majorBidi"/>
          <w:color w:val="000000" w:themeColor="text1"/>
          <w:sz w:val="24"/>
          <w:szCs w:val="24"/>
        </w:rPr>
        <w:t>ly</w:t>
      </w:r>
      <w:r w:rsidR="005178AE" w:rsidRPr="00615171">
        <w:rPr>
          <w:rFonts w:asciiTheme="majorBidi" w:hAnsiTheme="majorBidi" w:cstheme="majorBidi"/>
          <w:color w:val="000000" w:themeColor="text1"/>
          <w:sz w:val="24"/>
          <w:szCs w:val="24"/>
        </w:rPr>
        <w:t xml:space="preserve"> they are</w:t>
      </w:r>
      <w:r w:rsidR="00094D96" w:rsidRPr="00615171">
        <w:rPr>
          <w:rFonts w:asciiTheme="majorBidi" w:hAnsiTheme="majorBidi" w:cstheme="majorBidi"/>
          <w:color w:val="000000" w:themeColor="text1"/>
          <w:sz w:val="24"/>
          <w:szCs w:val="24"/>
        </w:rPr>
        <w:t xml:space="preserve"> to smo</w:t>
      </w:r>
      <w:r w:rsidR="002876A3" w:rsidRPr="00615171">
        <w:rPr>
          <w:rFonts w:asciiTheme="majorBidi" w:hAnsiTheme="majorBidi" w:cstheme="majorBidi"/>
          <w:color w:val="000000" w:themeColor="text1"/>
          <w:sz w:val="24"/>
          <w:szCs w:val="24"/>
        </w:rPr>
        <w:t>ke, drink, use illegal drugs</w:t>
      </w:r>
      <w:r w:rsidR="005178AE" w:rsidRPr="00615171">
        <w:rPr>
          <w:rFonts w:asciiTheme="majorBidi" w:hAnsiTheme="majorBidi" w:cstheme="majorBidi"/>
          <w:color w:val="000000" w:themeColor="text1"/>
          <w:sz w:val="24"/>
          <w:szCs w:val="24"/>
        </w:rPr>
        <w:t xml:space="preserve"> or</w:t>
      </w:r>
      <w:r w:rsidR="00700CBF" w:rsidRPr="00615171">
        <w:rPr>
          <w:rFonts w:asciiTheme="majorBidi" w:hAnsiTheme="majorBidi" w:cstheme="majorBidi"/>
          <w:color w:val="000000" w:themeColor="text1"/>
          <w:sz w:val="24"/>
          <w:szCs w:val="24"/>
        </w:rPr>
        <w:t xml:space="preserve"> </w:t>
      </w:r>
      <w:r w:rsidR="00094D96" w:rsidRPr="00615171">
        <w:rPr>
          <w:rFonts w:asciiTheme="majorBidi" w:hAnsiTheme="majorBidi" w:cstheme="majorBidi"/>
          <w:color w:val="000000" w:themeColor="text1"/>
          <w:sz w:val="24"/>
          <w:szCs w:val="24"/>
        </w:rPr>
        <w:t>have excess weight</w:t>
      </w:r>
      <w:r w:rsidR="002876A3" w:rsidRPr="00615171">
        <w:rPr>
          <w:rFonts w:asciiTheme="majorBidi" w:hAnsiTheme="majorBidi" w:cstheme="majorBidi"/>
          <w:color w:val="000000" w:themeColor="text1"/>
          <w:sz w:val="24"/>
          <w:szCs w:val="24"/>
        </w:rPr>
        <w:t xml:space="preserve"> and </w:t>
      </w:r>
      <w:r w:rsidR="005178AE" w:rsidRPr="00615171">
        <w:rPr>
          <w:rFonts w:asciiTheme="majorBidi" w:hAnsiTheme="majorBidi" w:cstheme="majorBidi"/>
          <w:color w:val="000000" w:themeColor="text1"/>
          <w:sz w:val="24"/>
          <w:szCs w:val="24"/>
        </w:rPr>
        <w:t xml:space="preserve">the </w:t>
      </w:r>
      <w:r w:rsidR="002876A3" w:rsidRPr="00615171">
        <w:rPr>
          <w:rFonts w:asciiTheme="majorBidi" w:hAnsiTheme="majorBidi" w:cstheme="majorBidi"/>
          <w:color w:val="000000" w:themeColor="text1"/>
          <w:sz w:val="24"/>
          <w:szCs w:val="24"/>
        </w:rPr>
        <w:t>more like</w:t>
      </w:r>
      <w:r w:rsidR="00700CBF" w:rsidRPr="00615171">
        <w:rPr>
          <w:rFonts w:asciiTheme="majorBidi" w:hAnsiTheme="majorBidi" w:cstheme="majorBidi"/>
          <w:color w:val="000000" w:themeColor="text1"/>
          <w:sz w:val="24"/>
          <w:szCs w:val="24"/>
        </w:rPr>
        <w:t>ly</w:t>
      </w:r>
      <w:r w:rsidR="005178AE" w:rsidRPr="00615171">
        <w:rPr>
          <w:rFonts w:asciiTheme="majorBidi" w:hAnsiTheme="majorBidi" w:cstheme="majorBidi"/>
          <w:color w:val="000000" w:themeColor="text1"/>
          <w:sz w:val="24"/>
          <w:szCs w:val="24"/>
        </w:rPr>
        <w:t xml:space="preserve"> they are</w:t>
      </w:r>
      <w:r w:rsidR="002876A3" w:rsidRPr="00615171">
        <w:rPr>
          <w:rFonts w:asciiTheme="majorBidi" w:hAnsiTheme="majorBidi" w:cstheme="majorBidi"/>
          <w:color w:val="000000" w:themeColor="text1"/>
          <w:sz w:val="24"/>
          <w:szCs w:val="24"/>
        </w:rPr>
        <w:t xml:space="preserve"> to do regular excise and eat healthier food</w:t>
      </w:r>
      <w:r w:rsidR="00094D96" w:rsidRPr="00615171">
        <w:rPr>
          <w:rFonts w:asciiTheme="majorBidi" w:hAnsiTheme="majorBidi" w:cstheme="majorBidi"/>
          <w:color w:val="000000" w:themeColor="text1"/>
          <w:sz w:val="24"/>
          <w:szCs w:val="24"/>
        </w:rPr>
        <w:t>.</w:t>
      </w:r>
      <w:r w:rsidR="00AA17E9" w:rsidRPr="00615171">
        <w:rPr>
          <w:rFonts w:asciiTheme="majorBidi" w:hAnsiTheme="majorBidi" w:cstheme="majorBidi"/>
          <w:color w:val="000000" w:themeColor="text1"/>
          <w:sz w:val="24"/>
          <w:szCs w:val="24"/>
        </w:rPr>
        <w:t xml:space="preserve"> The 1970 British Birth Cohort Study reveals that higher educational level is significantly associated with healthier behavio</w:t>
      </w:r>
      <w:r w:rsidR="005178AE" w:rsidRPr="00615171">
        <w:rPr>
          <w:rFonts w:asciiTheme="majorBidi" w:hAnsiTheme="majorBidi" w:cstheme="majorBidi"/>
          <w:color w:val="000000" w:themeColor="text1"/>
          <w:sz w:val="24"/>
          <w:szCs w:val="24"/>
        </w:rPr>
        <w:t>u</w:t>
      </w:r>
      <w:r w:rsidR="00AA17E9" w:rsidRPr="00615171">
        <w:rPr>
          <w:rFonts w:asciiTheme="majorBidi" w:hAnsiTheme="majorBidi" w:cstheme="majorBidi"/>
          <w:color w:val="000000" w:themeColor="text1"/>
          <w:sz w:val="24"/>
          <w:szCs w:val="24"/>
        </w:rPr>
        <w:t>r over the life</w:t>
      </w:r>
      <w:r w:rsidR="002876A3" w:rsidRPr="00615171">
        <w:rPr>
          <w:rFonts w:asciiTheme="majorBidi" w:hAnsiTheme="majorBidi" w:cstheme="majorBidi"/>
          <w:color w:val="000000" w:themeColor="text1"/>
          <w:sz w:val="24"/>
          <w:szCs w:val="24"/>
        </w:rPr>
        <w:t xml:space="preserve"> </w:t>
      </w:r>
      <w:r w:rsidR="00AA17E9" w:rsidRPr="00615171">
        <w:rPr>
          <w:rFonts w:asciiTheme="majorBidi" w:hAnsiTheme="majorBidi" w:cstheme="majorBidi"/>
          <w:color w:val="000000" w:themeColor="text1"/>
          <w:sz w:val="24"/>
          <w:szCs w:val="24"/>
        </w:rPr>
        <w:t>course.</w:t>
      </w:r>
      <w:r w:rsidR="007C7A0B" w:rsidRPr="00615171">
        <w:rPr>
          <w:rFonts w:asciiTheme="majorBidi" w:hAnsiTheme="majorBidi" w:cstheme="majorBidi"/>
          <w:color w:val="000000" w:themeColor="text1"/>
          <w:sz w:val="24"/>
          <w:szCs w:val="24"/>
        </w:rPr>
        <w:t xml:space="preserve"> </w:t>
      </w:r>
      <w:r w:rsidR="005178AE" w:rsidRPr="00615171">
        <w:rPr>
          <w:rFonts w:asciiTheme="majorBidi" w:hAnsiTheme="majorBidi" w:cstheme="majorBidi"/>
          <w:color w:val="000000" w:themeColor="text1"/>
          <w:sz w:val="24"/>
          <w:szCs w:val="24"/>
        </w:rPr>
        <w:t>L</w:t>
      </w:r>
      <w:r w:rsidR="007C7A0B" w:rsidRPr="00615171">
        <w:rPr>
          <w:rFonts w:asciiTheme="majorBidi" w:hAnsiTheme="majorBidi" w:cstheme="majorBidi"/>
          <w:color w:val="000000" w:themeColor="text1"/>
          <w:sz w:val="24"/>
          <w:szCs w:val="24"/>
        </w:rPr>
        <w:t xml:space="preserve">ongitudinal studies in mental health </w:t>
      </w:r>
      <w:r w:rsidR="005178AE" w:rsidRPr="00615171">
        <w:rPr>
          <w:rFonts w:asciiTheme="majorBidi" w:hAnsiTheme="majorBidi" w:cstheme="majorBidi"/>
          <w:color w:val="000000" w:themeColor="text1"/>
          <w:sz w:val="24"/>
          <w:szCs w:val="24"/>
        </w:rPr>
        <w:t xml:space="preserve">also </w:t>
      </w:r>
      <w:r w:rsidR="007C7A0B" w:rsidRPr="00615171">
        <w:rPr>
          <w:rFonts w:asciiTheme="majorBidi" w:hAnsiTheme="majorBidi" w:cstheme="majorBidi"/>
          <w:color w:val="000000" w:themeColor="text1"/>
          <w:sz w:val="24"/>
          <w:szCs w:val="24"/>
        </w:rPr>
        <w:t>show that higher cognitive function is</w:t>
      </w:r>
      <w:r w:rsidR="00C04F3A" w:rsidRPr="00615171">
        <w:rPr>
          <w:rFonts w:asciiTheme="majorBidi" w:hAnsiTheme="majorBidi" w:cstheme="majorBidi"/>
          <w:color w:val="000000" w:themeColor="text1"/>
          <w:sz w:val="24"/>
          <w:szCs w:val="24"/>
        </w:rPr>
        <w:t xml:space="preserve"> associated with lower rates of mental depression </w:t>
      </w:r>
      <w:r w:rsidR="005178AE" w:rsidRPr="00615171">
        <w:rPr>
          <w:rFonts w:asciiTheme="majorBidi" w:hAnsiTheme="majorBidi" w:cstheme="majorBidi"/>
          <w:color w:val="000000" w:themeColor="text1"/>
          <w:sz w:val="24"/>
          <w:szCs w:val="24"/>
        </w:rPr>
        <w:t>and</w:t>
      </w:r>
      <w:r w:rsidR="00C04F3A" w:rsidRPr="00615171">
        <w:rPr>
          <w:rFonts w:asciiTheme="majorBidi" w:hAnsiTheme="majorBidi" w:cstheme="majorBidi"/>
          <w:color w:val="000000" w:themeColor="text1"/>
          <w:sz w:val="24"/>
          <w:szCs w:val="24"/>
        </w:rPr>
        <w:t xml:space="preserve"> higher intelligence in early life </w:t>
      </w:r>
      <w:r w:rsidR="005178AE" w:rsidRPr="00615171">
        <w:rPr>
          <w:rFonts w:asciiTheme="majorBidi" w:hAnsiTheme="majorBidi" w:cstheme="majorBidi"/>
          <w:color w:val="000000" w:themeColor="text1"/>
          <w:sz w:val="24"/>
          <w:szCs w:val="24"/>
        </w:rPr>
        <w:t>is</w:t>
      </w:r>
      <w:r w:rsidR="00C04F3A" w:rsidRPr="00615171">
        <w:rPr>
          <w:rFonts w:asciiTheme="majorBidi" w:hAnsiTheme="majorBidi" w:cstheme="majorBidi"/>
          <w:color w:val="000000" w:themeColor="text1"/>
          <w:sz w:val="24"/>
          <w:szCs w:val="24"/>
        </w:rPr>
        <w:t xml:space="preserve"> linked with a declining risk of psychological distress in middle and later life (Gale </w:t>
      </w:r>
      <w:r w:rsidR="002E5F20" w:rsidRPr="00615171">
        <w:rPr>
          <w:rFonts w:asciiTheme="majorBidi" w:hAnsiTheme="majorBidi" w:cstheme="majorBidi"/>
          <w:i/>
          <w:color w:val="000000" w:themeColor="text1"/>
          <w:sz w:val="24"/>
          <w:szCs w:val="24"/>
        </w:rPr>
        <w:t>et al.</w:t>
      </w:r>
      <w:r w:rsidR="00C04F3A" w:rsidRPr="00615171">
        <w:rPr>
          <w:rFonts w:asciiTheme="majorBidi" w:hAnsiTheme="majorBidi" w:cstheme="majorBidi"/>
          <w:color w:val="000000" w:themeColor="text1"/>
          <w:sz w:val="24"/>
          <w:szCs w:val="24"/>
        </w:rPr>
        <w:t>, 2008).</w:t>
      </w:r>
      <w:r w:rsidR="000D2751" w:rsidRPr="00615171">
        <w:rPr>
          <w:rFonts w:asciiTheme="majorBidi" w:hAnsiTheme="majorBidi" w:cstheme="majorBidi"/>
          <w:color w:val="000000" w:themeColor="text1"/>
          <w:sz w:val="24"/>
          <w:szCs w:val="24"/>
        </w:rPr>
        <w:t xml:space="preserve"> </w:t>
      </w:r>
      <w:r w:rsidR="008B7D0D" w:rsidRPr="00615171">
        <w:rPr>
          <w:rFonts w:asciiTheme="majorBidi" w:hAnsiTheme="majorBidi" w:cstheme="majorBidi"/>
          <w:color w:val="000000" w:themeColor="text1"/>
          <w:sz w:val="24"/>
          <w:szCs w:val="24"/>
        </w:rPr>
        <w:t>H</w:t>
      </w:r>
      <w:r w:rsidR="000D2751" w:rsidRPr="00615171">
        <w:rPr>
          <w:rFonts w:asciiTheme="majorBidi" w:hAnsiTheme="majorBidi" w:cstheme="majorBidi"/>
          <w:color w:val="000000" w:themeColor="text1"/>
          <w:sz w:val="24"/>
          <w:szCs w:val="24"/>
        </w:rPr>
        <w:t>igher e</w:t>
      </w:r>
      <w:r w:rsidR="00747B85" w:rsidRPr="00615171">
        <w:rPr>
          <w:rFonts w:asciiTheme="majorBidi" w:hAnsiTheme="majorBidi" w:cstheme="majorBidi"/>
          <w:color w:val="000000" w:themeColor="text1"/>
          <w:sz w:val="24"/>
          <w:szCs w:val="24"/>
        </w:rPr>
        <w:t>ducated pe</w:t>
      </w:r>
      <w:r w:rsidR="008B7D0D" w:rsidRPr="00615171">
        <w:rPr>
          <w:rFonts w:asciiTheme="majorBidi" w:hAnsiTheme="majorBidi" w:cstheme="majorBidi"/>
          <w:color w:val="000000" w:themeColor="text1"/>
          <w:sz w:val="24"/>
          <w:szCs w:val="24"/>
        </w:rPr>
        <w:t>ople</w:t>
      </w:r>
      <w:r w:rsidR="00747B85" w:rsidRPr="00615171">
        <w:rPr>
          <w:rFonts w:asciiTheme="majorBidi" w:hAnsiTheme="majorBidi" w:cstheme="majorBidi"/>
          <w:color w:val="000000" w:themeColor="text1"/>
          <w:sz w:val="24"/>
          <w:szCs w:val="24"/>
        </w:rPr>
        <w:t xml:space="preserve"> are more like</w:t>
      </w:r>
      <w:r w:rsidR="00700CBF" w:rsidRPr="00615171">
        <w:rPr>
          <w:rFonts w:asciiTheme="majorBidi" w:hAnsiTheme="majorBidi" w:cstheme="majorBidi"/>
          <w:color w:val="000000" w:themeColor="text1"/>
          <w:sz w:val="24"/>
          <w:szCs w:val="24"/>
        </w:rPr>
        <w:t>ly</w:t>
      </w:r>
      <w:r w:rsidR="00747B85" w:rsidRPr="00615171">
        <w:rPr>
          <w:rFonts w:asciiTheme="majorBidi" w:hAnsiTheme="majorBidi" w:cstheme="majorBidi"/>
          <w:color w:val="000000" w:themeColor="text1"/>
          <w:sz w:val="24"/>
          <w:szCs w:val="24"/>
        </w:rPr>
        <w:t xml:space="preserve"> to </w:t>
      </w:r>
      <w:r w:rsidR="008B7D0D" w:rsidRPr="00615171">
        <w:rPr>
          <w:rFonts w:asciiTheme="majorBidi" w:hAnsiTheme="majorBidi" w:cstheme="majorBidi"/>
          <w:color w:val="000000" w:themeColor="text1"/>
          <w:sz w:val="24"/>
          <w:szCs w:val="24"/>
        </w:rPr>
        <w:t>have the opportunity</w:t>
      </w:r>
      <w:r w:rsidR="00747B85" w:rsidRPr="00615171">
        <w:rPr>
          <w:rFonts w:asciiTheme="majorBidi" w:hAnsiTheme="majorBidi" w:cstheme="majorBidi"/>
          <w:color w:val="000000" w:themeColor="text1"/>
          <w:sz w:val="24"/>
          <w:szCs w:val="24"/>
        </w:rPr>
        <w:t xml:space="preserve"> </w:t>
      </w:r>
      <w:r w:rsidR="008B7D0D" w:rsidRPr="00615171">
        <w:rPr>
          <w:rFonts w:asciiTheme="majorBidi" w:hAnsiTheme="majorBidi" w:cstheme="majorBidi"/>
          <w:color w:val="000000" w:themeColor="text1"/>
          <w:sz w:val="24"/>
          <w:szCs w:val="24"/>
        </w:rPr>
        <w:t xml:space="preserve">to utilise </w:t>
      </w:r>
      <w:r w:rsidR="00747B85" w:rsidRPr="00615171">
        <w:rPr>
          <w:rFonts w:asciiTheme="majorBidi" w:hAnsiTheme="majorBidi" w:cstheme="majorBidi"/>
          <w:color w:val="000000" w:themeColor="text1"/>
          <w:sz w:val="24"/>
          <w:szCs w:val="24"/>
        </w:rPr>
        <w:t>new medical technology and have</w:t>
      </w:r>
      <w:r w:rsidR="008B7D0D" w:rsidRPr="00615171">
        <w:rPr>
          <w:rFonts w:asciiTheme="majorBidi" w:hAnsiTheme="majorBidi" w:cstheme="majorBidi"/>
          <w:color w:val="000000" w:themeColor="text1"/>
          <w:sz w:val="24"/>
          <w:szCs w:val="24"/>
        </w:rPr>
        <w:t xml:space="preserve"> a</w:t>
      </w:r>
      <w:r w:rsidR="00747B85" w:rsidRPr="00615171">
        <w:rPr>
          <w:rFonts w:asciiTheme="majorBidi" w:hAnsiTheme="majorBidi" w:cstheme="majorBidi"/>
          <w:color w:val="000000" w:themeColor="text1"/>
          <w:sz w:val="24"/>
          <w:szCs w:val="24"/>
        </w:rPr>
        <w:t xml:space="preserve"> better understanding</w:t>
      </w:r>
      <w:r w:rsidR="008B7D0D" w:rsidRPr="00615171">
        <w:rPr>
          <w:rFonts w:asciiTheme="majorBidi" w:hAnsiTheme="majorBidi" w:cstheme="majorBidi"/>
          <w:color w:val="000000" w:themeColor="text1"/>
          <w:sz w:val="24"/>
          <w:szCs w:val="24"/>
        </w:rPr>
        <w:t xml:space="preserve"> of,</w:t>
      </w:r>
      <w:r w:rsidR="00747B85" w:rsidRPr="00615171">
        <w:rPr>
          <w:rFonts w:asciiTheme="majorBidi" w:hAnsiTheme="majorBidi" w:cstheme="majorBidi"/>
          <w:color w:val="000000" w:themeColor="text1"/>
          <w:sz w:val="24"/>
          <w:szCs w:val="24"/>
        </w:rPr>
        <w:t xml:space="preserve"> and access to</w:t>
      </w:r>
      <w:r w:rsidR="008B7D0D" w:rsidRPr="00615171">
        <w:rPr>
          <w:rFonts w:asciiTheme="majorBidi" w:hAnsiTheme="majorBidi" w:cstheme="majorBidi"/>
          <w:color w:val="000000" w:themeColor="text1"/>
          <w:sz w:val="24"/>
          <w:szCs w:val="24"/>
        </w:rPr>
        <w:t>,</w:t>
      </w:r>
      <w:r w:rsidR="00747B85" w:rsidRPr="00615171">
        <w:rPr>
          <w:rFonts w:asciiTheme="majorBidi" w:hAnsiTheme="majorBidi" w:cstheme="majorBidi"/>
          <w:color w:val="000000" w:themeColor="text1"/>
          <w:sz w:val="24"/>
          <w:szCs w:val="24"/>
        </w:rPr>
        <w:t xml:space="preserve"> </w:t>
      </w:r>
      <w:r w:rsidR="008B7D0D" w:rsidRPr="00615171">
        <w:rPr>
          <w:rFonts w:asciiTheme="majorBidi" w:hAnsiTheme="majorBidi" w:cstheme="majorBidi"/>
          <w:color w:val="000000" w:themeColor="text1"/>
          <w:sz w:val="24"/>
          <w:szCs w:val="24"/>
        </w:rPr>
        <w:t xml:space="preserve">knowledge about </w:t>
      </w:r>
      <w:r w:rsidR="00747B85" w:rsidRPr="00615171">
        <w:rPr>
          <w:rFonts w:asciiTheme="majorBidi" w:hAnsiTheme="majorBidi" w:cstheme="majorBidi"/>
          <w:color w:val="000000" w:themeColor="text1"/>
          <w:sz w:val="24"/>
          <w:szCs w:val="24"/>
        </w:rPr>
        <w:t>new disease</w:t>
      </w:r>
      <w:r w:rsidR="00231EB0" w:rsidRPr="00615171">
        <w:rPr>
          <w:rFonts w:asciiTheme="majorBidi" w:hAnsiTheme="majorBidi" w:cstheme="majorBidi"/>
          <w:color w:val="000000" w:themeColor="text1"/>
          <w:sz w:val="24"/>
          <w:szCs w:val="24"/>
        </w:rPr>
        <w:t>s</w:t>
      </w:r>
      <w:r w:rsidR="000D2751" w:rsidRPr="00615171">
        <w:rPr>
          <w:rFonts w:asciiTheme="majorBidi" w:hAnsiTheme="majorBidi" w:cstheme="majorBidi"/>
          <w:color w:val="000000" w:themeColor="text1"/>
          <w:sz w:val="24"/>
          <w:szCs w:val="24"/>
        </w:rPr>
        <w:t xml:space="preserve"> </w:t>
      </w:r>
      <w:r w:rsidR="003C76C0" w:rsidRPr="00615171">
        <w:rPr>
          <w:rFonts w:asciiTheme="majorBidi" w:hAnsiTheme="majorBidi" w:cstheme="majorBidi"/>
          <w:color w:val="000000" w:themeColor="text1"/>
          <w:sz w:val="24"/>
          <w:szCs w:val="24"/>
        </w:rPr>
        <w:t>compare</w:t>
      </w:r>
      <w:r w:rsidR="008B7D0D" w:rsidRPr="00615171">
        <w:rPr>
          <w:rFonts w:asciiTheme="majorBidi" w:hAnsiTheme="majorBidi" w:cstheme="majorBidi"/>
          <w:color w:val="000000" w:themeColor="text1"/>
          <w:sz w:val="24"/>
          <w:szCs w:val="24"/>
        </w:rPr>
        <w:t>d</w:t>
      </w:r>
      <w:r w:rsidR="003C76C0" w:rsidRPr="00615171">
        <w:rPr>
          <w:rFonts w:asciiTheme="majorBidi" w:hAnsiTheme="majorBidi" w:cstheme="majorBidi"/>
          <w:color w:val="000000" w:themeColor="text1"/>
          <w:sz w:val="24"/>
          <w:szCs w:val="24"/>
        </w:rPr>
        <w:t xml:space="preserve"> to </w:t>
      </w:r>
      <w:r w:rsidR="008B7D0D" w:rsidRPr="00615171">
        <w:rPr>
          <w:rFonts w:asciiTheme="majorBidi" w:hAnsiTheme="majorBidi" w:cstheme="majorBidi"/>
          <w:color w:val="000000" w:themeColor="text1"/>
          <w:sz w:val="24"/>
          <w:szCs w:val="24"/>
        </w:rPr>
        <w:t>people</w:t>
      </w:r>
      <w:r w:rsidR="003C76C0" w:rsidRPr="00615171">
        <w:rPr>
          <w:rFonts w:asciiTheme="majorBidi" w:hAnsiTheme="majorBidi" w:cstheme="majorBidi"/>
          <w:color w:val="000000" w:themeColor="text1"/>
          <w:sz w:val="24"/>
          <w:szCs w:val="24"/>
        </w:rPr>
        <w:t xml:space="preserve"> </w:t>
      </w:r>
      <w:r w:rsidR="008B7D0D" w:rsidRPr="00615171">
        <w:rPr>
          <w:rFonts w:asciiTheme="majorBidi" w:hAnsiTheme="majorBidi" w:cstheme="majorBidi"/>
          <w:color w:val="000000" w:themeColor="text1"/>
          <w:sz w:val="24"/>
          <w:szCs w:val="24"/>
        </w:rPr>
        <w:t>with a</w:t>
      </w:r>
      <w:r w:rsidR="00231EB0" w:rsidRPr="00615171">
        <w:rPr>
          <w:rFonts w:asciiTheme="majorBidi" w:hAnsiTheme="majorBidi" w:cstheme="majorBidi"/>
          <w:color w:val="000000" w:themeColor="text1"/>
          <w:sz w:val="24"/>
          <w:szCs w:val="24"/>
        </w:rPr>
        <w:t xml:space="preserve"> lower level of education</w:t>
      </w:r>
      <w:r w:rsidR="00012791" w:rsidRPr="00615171">
        <w:rPr>
          <w:rFonts w:asciiTheme="majorBidi" w:hAnsiTheme="majorBidi" w:cstheme="majorBidi"/>
          <w:color w:val="000000" w:themeColor="text1"/>
          <w:sz w:val="24"/>
          <w:szCs w:val="24"/>
        </w:rPr>
        <w:t xml:space="preserve"> (</w:t>
      </w:r>
      <w:r w:rsidR="00BB5FAC" w:rsidRPr="00615171">
        <w:rPr>
          <w:rFonts w:asciiTheme="majorBidi" w:hAnsiTheme="majorBidi" w:cstheme="majorBidi"/>
          <w:color w:val="000000" w:themeColor="text1"/>
          <w:sz w:val="24"/>
          <w:szCs w:val="24"/>
        </w:rPr>
        <w:t xml:space="preserve">Coulter </w:t>
      </w:r>
      <w:r w:rsidR="00BB5FAC" w:rsidRPr="00615171">
        <w:rPr>
          <w:rFonts w:asciiTheme="majorBidi" w:hAnsiTheme="majorBidi" w:cstheme="majorBidi"/>
          <w:i/>
          <w:iCs/>
          <w:color w:val="000000" w:themeColor="text1"/>
          <w:sz w:val="24"/>
          <w:szCs w:val="24"/>
        </w:rPr>
        <w:t>et al.</w:t>
      </w:r>
      <w:r w:rsidR="00012791" w:rsidRPr="00615171">
        <w:rPr>
          <w:rFonts w:asciiTheme="majorBidi" w:hAnsiTheme="majorBidi" w:cstheme="majorBidi"/>
          <w:i/>
          <w:iCs/>
          <w:color w:val="000000" w:themeColor="text1"/>
          <w:sz w:val="24"/>
          <w:szCs w:val="24"/>
        </w:rPr>
        <w:t>,</w:t>
      </w:r>
      <w:r w:rsidR="00012791" w:rsidRPr="00615171">
        <w:rPr>
          <w:rFonts w:asciiTheme="majorBidi" w:hAnsiTheme="majorBidi" w:cstheme="majorBidi"/>
          <w:color w:val="000000" w:themeColor="text1"/>
          <w:sz w:val="24"/>
          <w:szCs w:val="24"/>
        </w:rPr>
        <w:t xml:space="preserve"> 2008)</w:t>
      </w:r>
      <w:r w:rsidR="00231EB0" w:rsidRPr="00615171">
        <w:rPr>
          <w:rFonts w:asciiTheme="majorBidi" w:hAnsiTheme="majorBidi" w:cstheme="majorBidi"/>
          <w:color w:val="000000" w:themeColor="text1"/>
          <w:sz w:val="24"/>
          <w:szCs w:val="24"/>
        </w:rPr>
        <w:t>.</w:t>
      </w:r>
    </w:p>
    <w:p w14:paraId="5369A012" w14:textId="77777777" w:rsidR="00623739" w:rsidRPr="00615171" w:rsidRDefault="00623739" w:rsidP="00623739">
      <w:pPr>
        <w:spacing w:after="0" w:line="240" w:lineRule="auto"/>
        <w:jc w:val="both"/>
        <w:rPr>
          <w:rFonts w:asciiTheme="majorBidi" w:hAnsiTheme="majorBidi" w:cstheme="majorBidi"/>
          <w:b/>
          <w:color w:val="000000" w:themeColor="text1"/>
          <w:sz w:val="24"/>
          <w:szCs w:val="24"/>
        </w:rPr>
      </w:pPr>
    </w:p>
    <w:p w14:paraId="6C018511" w14:textId="3109A585" w:rsidR="00071F64" w:rsidRPr="00615171" w:rsidRDefault="008B6620" w:rsidP="00623739">
      <w:pPr>
        <w:spacing w:after="0" w:line="240" w:lineRule="auto"/>
        <w:jc w:val="both"/>
        <w:rPr>
          <w:rFonts w:asciiTheme="majorBidi" w:hAnsiTheme="majorBidi" w:cstheme="majorBidi"/>
          <w:b/>
          <w:color w:val="000000" w:themeColor="text1"/>
          <w:sz w:val="24"/>
          <w:szCs w:val="24"/>
        </w:rPr>
      </w:pPr>
      <w:r w:rsidRPr="00615171">
        <w:rPr>
          <w:rFonts w:asciiTheme="majorBidi" w:hAnsiTheme="majorBidi" w:cstheme="majorBidi"/>
          <w:color w:val="000000" w:themeColor="text1"/>
          <w:sz w:val="24"/>
          <w:szCs w:val="24"/>
        </w:rPr>
        <w:t xml:space="preserve">The longitudinal study conducted by the Office for National Statistics (ONS) on the UK population  aged 50 and over (see Figure </w:t>
      </w:r>
      <w:r w:rsidR="0037617B"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found that the more educational qualifications that a person had attained by 1971 then the lower was the percentage of standardized limiting illnesses being reported in 2001</w:t>
      </w:r>
      <w:r w:rsidR="0037617B"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(Figure 4). Thus, it can be deduced that the level of educational attainment is positively correlated with health status. However, most of the older people today in Europe left school without having educational qualification and consequently, there is an insufficient differentiation between the groups with different educational levels (Grundy and Hot, 2001). This problem is expected to reduce in the coming years in the UK as relatively more educated people move into older age groups. In addition, increased access to lifelong learning through job based learning and apprenticeships, for example, can also play a significant role in reducing such health inequalities (The Marmot Review, 2010)</w:t>
      </w:r>
      <w:r w:rsidR="0037617B" w:rsidRPr="00615171">
        <w:rPr>
          <w:rFonts w:asciiTheme="majorBidi" w:hAnsiTheme="majorBidi" w:cstheme="majorBidi"/>
          <w:color w:val="000000" w:themeColor="text1"/>
          <w:sz w:val="24"/>
          <w:szCs w:val="24"/>
        </w:rPr>
        <w:t xml:space="preserve"> as well as in later life itself (Hafford-Letchfield, 2010).</w:t>
      </w:r>
    </w:p>
    <w:p w14:paraId="115AC661" w14:textId="77777777" w:rsidR="00071F64" w:rsidRPr="00615171" w:rsidRDefault="00071F64" w:rsidP="00623739">
      <w:pPr>
        <w:spacing w:after="0" w:line="240" w:lineRule="auto"/>
        <w:jc w:val="both"/>
        <w:rPr>
          <w:rFonts w:asciiTheme="majorBidi" w:hAnsiTheme="majorBidi" w:cstheme="majorBidi"/>
          <w:b/>
          <w:color w:val="000000" w:themeColor="text1"/>
          <w:sz w:val="24"/>
          <w:szCs w:val="24"/>
        </w:rPr>
      </w:pPr>
    </w:p>
    <w:p w14:paraId="31D2BA86" w14:textId="77777777" w:rsidR="005A5D43" w:rsidRPr="00615171" w:rsidRDefault="005A5D43" w:rsidP="00623739">
      <w:pPr>
        <w:spacing w:after="0" w:line="240" w:lineRule="auto"/>
        <w:jc w:val="both"/>
        <w:rPr>
          <w:rFonts w:asciiTheme="majorBidi" w:hAnsiTheme="majorBidi" w:cstheme="majorBidi"/>
          <w:b/>
          <w:color w:val="000000" w:themeColor="text1"/>
          <w:sz w:val="24"/>
          <w:szCs w:val="24"/>
        </w:rPr>
      </w:pPr>
    </w:p>
    <w:p w14:paraId="7C4A682A" w14:textId="367F8A2F" w:rsidR="00E56164" w:rsidRDefault="00E56164">
      <w:pP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br w:type="page"/>
      </w:r>
    </w:p>
    <w:p w14:paraId="55E503B1" w14:textId="77777777" w:rsidR="005A5D43" w:rsidRPr="00615171" w:rsidRDefault="005A5D43" w:rsidP="00623739">
      <w:pPr>
        <w:spacing w:after="0" w:line="240" w:lineRule="auto"/>
        <w:jc w:val="both"/>
        <w:rPr>
          <w:rFonts w:asciiTheme="majorBidi" w:hAnsiTheme="majorBidi" w:cstheme="majorBidi"/>
          <w:b/>
          <w:color w:val="000000" w:themeColor="text1"/>
          <w:sz w:val="24"/>
          <w:szCs w:val="24"/>
        </w:rPr>
      </w:pPr>
    </w:p>
    <w:p w14:paraId="4D8B0A05" w14:textId="77777777" w:rsidR="005A5D43" w:rsidRPr="00615171" w:rsidRDefault="00847D95" w:rsidP="005A5D43">
      <w:pPr>
        <w:spacing w:after="0" w:line="240" w:lineRule="auto"/>
        <w:ind w:left="1008" w:hanging="1008"/>
        <w:jc w:val="center"/>
        <w:rPr>
          <w:rFonts w:asciiTheme="majorBidi" w:hAnsiTheme="majorBidi" w:cstheme="majorBidi"/>
          <w:color w:val="000000" w:themeColor="text1"/>
          <w:sz w:val="24"/>
          <w:szCs w:val="24"/>
        </w:rPr>
      </w:pPr>
      <w:r w:rsidRPr="00615171">
        <w:rPr>
          <w:rFonts w:asciiTheme="majorBidi" w:hAnsiTheme="majorBidi" w:cstheme="majorBidi"/>
          <w:b/>
          <w:color w:val="000000" w:themeColor="text1"/>
          <w:sz w:val="24"/>
          <w:szCs w:val="24"/>
        </w:rPr>
        <w:t>Figure 4</w:t>
      </w:r>
      <w:r w:rsidR="00FE34B8" w:rsidRPr="00615171">
        <w:rPr>
          <w:rFonts w:asciiTheme="majorBidi" w:hAnsiTheme="majorBidi" w:cstheme="majorBidi"/>
          <w:b/>
          <w:color w:val="000000" w:themeColor="text1"/>
          <w:sz w:val="24"/>
          <w:szCs w:val="24"/>
        </w:rPr>
        <w:t>:</w:t>
      </w:r>
      <w:r w:rsidR="00FE34B8" w:rsidRPr="00615171">
        <w:rPr>
          <w:rFonts w:asciiTheme="majorBidi" w:hAnsiTheme="majorBidi" w:cstheme="majorBidi"/>
          <w:color w:val="000000" w:themeColor="text1"/>
          <w:sz w:val="24"/>
          <w:szCs w:val="24"/>
        </w:rPr>
        <w:t xml:space="preserve"> </w:t>
      </w:r>
      <w:r w:rsidR="00DA2399" w:rsidRPr="00615171">
        <w:rPr>
          <w:rFonts w:asciiTheme="majorBidi" w:hAnsiTheme="majorBidi" w:cstheme="majorBidi"/>
          <w:color w:val="000000" w:themeColor="text1"/>
          <w:sz w:val="24"/>
          <w:szCs w:val="24"/>
        </w:rPr>
        <w:t xml:space="preserve">Percentage of </w:t>
      </w:r>
      <w:proofErr w:type="spellStart"/>
      <w:r w:rsidR="00DA2399" w:rsidRPr="00615171">
        <w:rPr>
          <w:rFonts w:asciiTheme="majorBidi" w:hAnsiTheme="majorBidi" w:cstheme="majorBidi"/>
          <w:color w:val="000000" w:themeColor="text1"/>
          <w:sz w:val="24"/>
          <w:szCs w:val="24"/>
        </w:rPr>
        <w:t>s</w:t>
      </w:r>
      <w:r w:rsidR="00FE34B8" w:rsidRPr="00615171">
        <w:rPr>
          <w:rFonts w:asciiTheme="majorBidi" w:hAnsiTheme="majorBidi" w:cstheme="majorBidi"/>
          <w:color w:val="000000" w:themeColor="text1"/>
          <w:sz w:val="24"/>
          <w:szCs w:val="24"/>
        </w:rPr>
        <w:t>tandardised</w:t>
      </w:r>
      <w:proofErr w:type="spellEnd"/>
      <w:r w:rsidR="00FE34B8" w:rsidRPr="00615171">
        <w:rPr>
          <w:rFonts w:asciiTheme="majorBidi" w:hAnsiTheme="majorBidi" w:cstheme="majorBidi"/>
          <w:color w:val="000000" w:themeColor="text1"/>
          <w:sz w:val="24"/>
          <w:szCs w:val="24"/>
        </w:rPr>
        <w:t xml:space="preserve"> limiting illness</w:t>
      </w:r>
      <w:r w:rsidR="00DA2399" w:rsidRPr="00615171">
        <w:rPr>
          <w:rFonts w:asciiTheme="majorBidi" w:hAnsiTheme="majorBidi" w:cstheme="majorBidi"/>
          <w:color w:val="000000" w:themeColor="text1"/>
          <w:sz w:val="24"/>
          <w:szCs w:val="24"/>
        </w:rPr>
        <w:t xml:space="preserve"> at age 50</w:t>
      </w:r>
      <w:r w:rsidR="009200DF" w:rsidRPr="00615171">
        <w:rPr>
          <w:rFonts w:asciiTheme="majorBidi" w:hAnsiTheme="majorBidi" w:cstheme="majorBidi"/>
          <w:color w:val="000000" w:themeColor="text1"/>
          <w:sz w:val="24"/>
          <w:szCs w:val="24"/>
        </w:rPr>
        <w:t xml:space="preserve"> and</w:t>
      </w:r>
      <w:r w:rsidR="00DA2399" w:rsidRPr="00615171">
        <w:rPr>
          <w:rFonts w:asciiTheme="majorBidi" w:hAnsiTheme="majorBidi" w:cstheme="majorBidi"/>
          <w:color w:val="000000" w:themeColor="text1"/>
          <w:sz w:val="24"/>
          <w:szCs w:val="24"/>
        </w:rPr>
        <w:t xml:space="preserve"> over in 2001</w:t>
      </w:r>
      <w:r w:rsidR="00092C5A" w:rsidRPr="00615171">
        <w:rPr>
          <w:rFonts w:asciiTheme="majorBidi" w:hAnsiTheme="majorBidi" w:cstheme="majorBidi"/>
          <w:color w:val="000000" w:themeColor="text1"/>
          <w:sz w:val="24"/>
          <w:szCs w:val="24"/>
        </w:rPr>
        <w:t xml:space="preserve"> </w:t>
      </w:r>
    </w:p>
    <w:p w14:paraId="1495878A" w14:textId="6A0C37E8" w:rsidR="00FE34B8" w:rsidRPr="00615171" w:rsidRDefault="00092C5A" w:rsidP="005A5D43">
      <w:pPr>
        <w:spacing w:after="0" w:line="240" w:lineRule="auto"/>
        <w:ind w:left="1008" w:hanging="1008"/>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in the UK </w:t>
      </w:r>
      <w:r w:rsidR="00DA2399" w:rsidRPr="00615171">
        <w:rPr>
          <w:rFonts w:asciiTheme="majorBidi" w:hAnsiTheme="majorBidi" w:cstheme="majorBidi"/>
          <w:color w:val="000000" w:themeColor="text1"/>
          <w:sz w:val="24"/>
          <w:szCs w:val="24"/>
        </w:rPr>
        <w:t xml:space="preserve">by educational qualification </w:t>
      </w:r>
      <w:r w:rsidRPr="00615171">
        <w:rPr>
          <w:rFonts w:asciiTheme="majorBidi" w:hAnsiTheme="majorBidi" w:cstheme="majorBidi"/>
          <w:color w:val="000000" w:themeColor="text1"/>
          <w:sz w:val="24"/>
          <w:szCs w:val="24"/>
        </w:rPr>
        <w:t>attained up to</w:t>
      </w:r>
      <w:r w:rsidR="009200DF" w:rsidRPr="00615171">
        <w:rPr>
          <w:rFonts w:asciiTheme="majorBidi" w:hAnsiTheme="majorBidi" w:cstheme="majorBidi"/>
          <w:color w:val="000000" w:themeColor="text1"/>
          <w:sz w:val="24"/>
          <w:szCs w:val="24"/>
        </w:rPr>
        <w:t xml:space="preserve"> </w:t>
      </w:r>
      <w:r w:rsidR="00DA2399" w:rsidRPr="00615171">
        <w:rPr>
          <w:rFonts w:asciiTheme="majorBidi" w:hAnsiTheme="majorBidi" w:cstheme="majorBidi"/>
          <w:color w:val="000000" w:themeColor="text1"/>
          <w:sz w:val="24"/>
          <w:szCs w:val="24"/>
        </w:rPr>
        <w:t>1971.</w:t>
      </w:r>
    </w:p>
    <w:p w14:paraId="477D6856" w14:textId="77777777" w:rsidR="0061728B" w:rsidRPr="00615171" w:rsidRDefault="0061728B" w:rsidP="00623739">
      <w:pPr>
        <w:spacing w:after="0" w:line="240" w:lineRule="auto"/>
        <w:ind w:left="1008" w:hanging="1008"/>
        <w:jc w:val="both"/>
        <w:rPr>
          <w:rFonts w:asciiTheme="majorBidi" w:hAnsiTheme="majorBidi" w:cstheme="majorBidi"/>
          <w:color w:val="000000" w:themeColor="text1"/>
          <w:sz w:val="24"/>
          <w:szCs w:val="24"/>
        </w:rPr>
      </w:pPr>
    </w:p>
    <w:p w14:paraId="311895B7" w14:textId="77777777" w:rsidR="00FA1965" w:rsidRPr="00615171" w:rsidRDefault="005D5FA7" w:rsidP="008F154E">
      <w:pPr>
        <w:spacing w:after="0" w:line="240" w:lineRule="auto"/>
        <w:jc w:val="center"/>
        <w:rPr>
          <w:rFonts w:asciiTheme="majorBidi" w:hAnsiTheme="majorBidi" w:cstheme="majorBidi"/>
          <w:b/>
          <w:color w:val="000000" w:themeColor="text1"/>
          <w:sz w:val="24"/>
          <w:szCs w:val="24"/>
        </w:rPr>
      </w:pPr>
      <w:r w:rsidRPr="00615171">
        <w:rPr>
          <w:rFonts w:asciiTheme="majorBidi" w:hAnsiTheme="majorBidi" w:cstheme="majorBidi"/>
          <w:b/>
          <w:noProof/>
          <w:color w:val="000000" w:themeColor="text1"/>
          <w:sz w:val="24"/>
          <w:szCs w:val="24"/>
          <w:lang w:val="en-GB" w:eastAsia="zh-CN"/>
        </w:rPr>
        <w:drawing>
          <wp:inline distT="0" distB="0" distL="0" distR="0" wp14:anchorId="6A90FABF" wp14:editId="56F06AC5">
            <wp:extent cx="582312" cy="336604"/>
            <wp:effectExtent l="19050" t="0" r="8238"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80939" cy="335811"/>
                    </a:xfrm>
                    <a:prstGeom prst="rect">
                      <a:avLst/>
                    </a:prstGeom>
                    <a:noFill/>
                    <a:ln w="9525">
                      <a:noFill/>
                      <a:miter lim="800000"/>
                      <a:headEnd/>
                      <a:tailEnd/>
                    </a:ln>
                  </pic:spPr>
                </pic:pic>
              </a:graphicData>
            </a:graphic>
          </wp:inline>
        </w:drawing>
      </w:r>
      <w:r w:rsidR="00FE34B8" w:rsidRPr="00615171">
        <w:rPr>
          <w:rFonts w:asciiTheme="majorBidi" w:hAnsiTheme="majorBidi" w:cstheme="majorBidi"/>
          <w:b/>
          <w:noProof/>
          <w:color w:val="000000" w:themeColor="text1"/>
          <w:sz w:val="24"/>
          <w:szCs w:val="24"/>
          <w:lang w:val="en-GB" w:eastAsia="zh-CN"/>
        </w:rPr>
        <w:drawing>
          <wp:inline distT="0" distB="0" distL="0" distR="0" wp14:anchorId="603CEB4B" wp14:editId="3313E459">
            <wp:extent cx="5062538" cy="2966816"/>
            <wp:effectExtent l="19050" t="19050" r="24130" b="2413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060678" cy="2965726"/>
                    </a:xfrm>
                    <a:prstGeom prst="rect">
                      <a:avLst/>
                    </a:prstGeom>
                    <a:noFill/>
                    <a:ln w="9525">
                      <a:solidFill>
                        <a:schemeClr val="tx1"/>
                      </a:solidFill>
                      <a:miter lim="800000"/>
                      <a:headEnd/>
                      <a:tailEnd/>
                    </a:ln>
                  </pic:spPr>
                </pic:pic>
              </a:graphicData>
            </a:graphic>
          </wp:inline>
        </w:drawing>
      </w:r>
    </w:p>
    <w:p w14:paraId="17346B98" w14:textId="38C72C62" w:rsidR="00592F40" w:rsidRPr="00615171" w:rsidRDefault="00DA2399" w:rsidP="00BC5B74">
      <w:pPr>
        <w:spacing w:after="0" w:line="240" w:lineRule="auto"/>
        <w:ind w:left="720" w:firstLine="720"/>
        <w:jc w:val="both"/>
        <w:rPr>
          <w:rFonts w:asciiTheme="majorBidi" w:hAnsiTheme="majorBidi" w:cstheme="majorBidi"/>
          <w:i/>
          <w:iCs/>
          <w:color w:val="000000" w:themeColor="text1"/>
          <w:sz w:val="24"/>
          <w:szCs w:val="24"/>
        </w:rPr>
      </w:pPr>
      <w:r w:rsidRPr="00615171">
        <w:rPr>
          <w:rFonts w:asciiTheme="majorBidi" w:hAnsiTheme="majorBidi" w:cstheme="majorBidi"/>
          <w:i/>
          <w:iCs/>
          <w:color w:val="000000" w:themeColor="text1"/>
          <w:sz w:val="24"/>
          <w:szCs w:val="24"/>
        </w:rPr>
        <w:t>Source: ONS Longitudinal Study</w:t>
      </w:r>
      <w:r w:rsidR="00BC5B74" w:rsidRPr="00615171">
        <w:rPr>
          <w:rFonts w:asciiTheme="majorBidi" w:hAnsiTheme="majorBidi" w:cstheme="majorBidi"/>
          <w:i/>
          <w:iCs/>
          <w:color w:val="000000" w:themeColor="text1"/>
          <w:sz w:val="24"/>
          <w:szCs w:val="24"/>
        </w:rPr>
        <w:t xml:space="preserve"> (</w:t>
      </w:r>
      <w:r w:rsidR="00575B20" w:rsidRPr="00615171">
        <w:rPr>
          <w:rFonts w:asciiTheme="majorBidi" w:hAnsiTheme="majorBidi" w:cstheme="majorBidi"/>
          <w:i/>
          <w:iCs/>
          <w:color w:val="000000" w:themeColor="text1"/>
          <w:sz w:val="24"/>
          <w:szCs w:val="24"/>
        </w:rPr>
        <w:t>2014</w:t>
      </w:r>
      <w:r w:rsidR="00BC5B74" w:rsidRPr="00615171">
        <w:rPr>
          <w:rFonts w:asciiTheme="majorBidi" w:hAnsiTheme="majorBidi" w:cstheme="majorBidi"/>
          <w:i/>
          <w:iCs/>
          <w:color w:val="000000" w:themeColor="text1"/>
          <w:sz w:val="24"/>
          <w:szCs w:val="24"/>
        </w:rPr>
        <w:t>)</w:t>
      </w:r>
    </w:p>
    <w:p w14:paraId="51105F17" w14:textId="77777777" w:rsidR="00DB4510" w:rsidRPr="00615171" w:rsidRDefault="00DB4510" w:rsidP="00623739">
      <w:pPr>
        <w:spacing w:after="0" w:line="240" w:lineRule="auto"/>
        <w:jc w:val="both"/>
        <w:rPr>
          <w:rFonts w:asciiTheme="majorBidi" w:hAnsiTheme="majorBidi" w:cstheme="majorBidi"/>
          <w:color w:val="000000" w:themeColor="text1"/>
          <w:sz w:val="24"/>
          <w:szCs w:val="24"/>
        </w:rPr>
      </w:pPr>
    </w:p>
    <w:p w14:paraId="2E1805FB" w14:textId="7EE4D4F7" w:rsidR="009C69F3" w:rsidRPr="00615171" w:rsidRDefault="00F56A11" w:rsidP="00623739">
      <w:pPr>
        <w:spacing w:after="0" w:line="240" w:lineRule="auto"/>
        <w:jc w:val="both"/>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tab/>
      </w:r>
    </w:p>
    <w:p w14:paraId="399E5F5F" w14:textId="456D3DC1" w:rsidR="00A92A7D" w:rsidRPr="00615171" w:rsidRDefault="00792B67" w:rsidP="00A92A7D">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Occupation is one of the most frequently used</w:t>
      </w:r>
      <w:r w:rsidR="0013554C" w:rsidRPr="00615171">
        <w:rPr>
          <w:rFonts w:asciiTheme="majorBidi" w:hAnsiTheme="majorBidi" w:cstheme="majorBidi"/>
          <w:color w:val="000000" w:themeColor="text1"/>
          <w:sz w:val="24"/>
          <w:szCs w:val="24"/>
        </w:rPr>
        <w:t xml:space="preserve"> indicators </w:t>
      </w:r>
      <w:r w:rsidR="00C20834" w:rsidRPr="00615171">
        <w:rPr>
          <w:rFonts w:asciiTheme="majorBidi" w:hAnsiTheme="majorBidi" w:cstheme="majorBidi"/>
          <w:color w:val="000000" w:themeColor="text1"/>
          <w:sz w:val="24"/>
          <w:szCs w:val="24"/>
        </w:rPr>
        <w:t>for</w:t>
      </w:r>
      <w:r w:rsidR="0013554C" w:rsidRPr="00615171">
        <w:rPr>
          <w:rFonts w:asciiTheme="majorBidi" w:hAnsiTheme="majorBidi" w:cstheme="majorBidi"/>
          <w:color w:val="000000" w:themeColor="text1"/>
          <w:sz w:val="24"/>
          <w:szCs w:val="24"/>
        </w:rPr>
        <w:t xml:space="preserve"> measur</w:t>
      </w:r>
      <w:r w:rsidR="00C20834" w:rsidRPr="00615171">
        <w:rPr>
          <w:rFonts w:asciiTheme="majorBidi" w:hAnsiTheme="majorBidi" w:cstheme="majorBidi"/>
          <w:color w:val="000000" w:themeColor="text1"/>
          <w:sz w:val="24"/>
          <w:szCs w:val="24"/>
        </w:rPr>
        <w:t>ing</w:t>
      </w:r>
      <w:r w:rsidRPr="00615171">
        <w:rPr>
          <w:rFonts w:asciiTheme="majorBidi" w:hAnsiTheme="majorBidi" w:cstheme="majorBidi"/>
          <w:color w:val="000000" w:themeColor="text1"/>
          <w:sz w:val="24"/>
          <w:szCs w:val="24"/>
        </w:rPr>
        <w:t xml:space="preserve"> socio-economic status in the UK</w:t>
      </w:r>
      <w:r w:rsidR="007068D3"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13554C" w:rsidRPr="00615171">
        <w:rPr>
          <w:rFonts w:asciiTheme="majorBidi" w:hAnsiTheme="majorBidi" w:cstheme="majorBidi"/>
          <w:color w:val="000000" w:themeColor="text1"/>
          <w:sz w:val="24"/>
          <w:szCs w:val="24"/>
        </w:rPr>
        <w:t>and it has</w:t>
      </w:r>
      <w:r w:rsidR="00C20834" w:rsidRPr="00615171">
        <w:rPr>
          <w:rFonts w:asciiTheme="majorBidi" w:hAnsiTheme="majorBidi" w:cstheme="majorBidi"/>
          <w:color w:val="000000" w:themeColor="text1"/>
          <w:sz w:val="24"/>
          <w:szCs w:val="24"/>
        </w:rPr>
        <w:t xml:space="preserve"> a</w:t>
      </w:r>
      <w:r w:rsidR="0013554C" w:rsidRPr="00615171">
        <w:rPr>
          <w:rFonts w:asciiTheme="majorBidi" w:hAnsiTheme="majorBidi" w:cstheme="majorBidi"/>
          <w:color w:val="000000" w:themeColor="text1"/>
          <w:sz w:val="24"/>
          <w:szCs w:val="24"/>
        </w:rPr>
        <w:t xml:space="preserve"> significant gradient in health particularly for </w:t>
      </w:r>
      <w:r w:rsidR="00A969E6" w:rsidRPr="00615171">
        <w:rPr>
          <w:rFonts w:asciiTheme="majorBidi" w:hAnsiTheme="majorBidi" w:cstheme="majorBidi"/>
          <w:color w:val="000000" w:themeColor="text1"/>
          <w:sz w:val="24"/>
          <w:szCs w:val="24"/>
        </w:rPr>
        <w:t xml:space="preserve">the </w:t>
      </w:r>
      <w:r w:rsidR="0013554C" w:rsidRPr="00615171">
        <w:rPr>
          <w:rFonts w:asciiTheme="majorBidi" w:hAnsiTheme="majorBidi" w:cstheme="majorBidi"/>
          <w:color w:val="000000" w:themeColor="text1"/>
          <w:sz w:val="24"/>
          <w:szCs w:val="24"/>
        </w:rPr>
        <w:t>working people</w:t>
      </w:r>
      <w:r w:rsidRPr="00615171">
        <w:rPr>
          <w:rFonts w:asciiTheme="majorBidi" w:hAnsiTheme="majorBidi" w:cstheme="majorBidi"/>
          <w:color w:val="000000" w:themeColor="text1"/>
          <w:sz w:val="24"/>
          <w:szCs w:val="24"/>
        </w:rPr>
        <w:t xml:space="preserve"> (Graham and Kelly, 2004)</w:t>
      </w:r>
      <w:r w:rsidR="0013554C"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A92A7D" w:rsidRPr="00615171">
        <w:rPr>
          <w:rFonts w:asciiTheme="majorBidi" w:hAnsiTheme="majorBidi" w:cstheme="majorBidi"/>
          <w:color w:val="000000" w:themeColor="text1"/>
          <w:sz w:val="24"/>
          <w:szCs w:val="24"/>
        </w:rPr>
        <w:t xml:space="preserve">The bulk of research on the association between social class and health has been focused on occupational position or rank. </w:t>
      </w:r>
      <w:r w:rsidR="00AC0E33" w:rsidRPr="00615171">
        <w:rPr>
          <w:rFonts w:asciiTheme="majorBidi" w:hAnsiTheme="majorBidi" w:cstheme="majorBidi"/>
          <w:color w:val="000000" w:themeColor="text1"/>
          <w:sz w:val="24"/>
          <w:szCs w:val="24"/>
        </w:rPr>
        <w:t>People with lower occupational status are more likely to experience longer or irregular stressful working hours, shift work</w:t>
      </w:r>
      <w:r w:rsidR="009A52A0" w:rsidRPr="00615171">
        <w:rPr>
          <w:rFonts w:asciiTheme="majorBidi" w:hAnsiTheme="majorBidi" w:cstheme="majorBidi"/>
          <w:color w:val="000000" w:themeColor="text1"/>
          <w:sz w:val="24"/>
          <w:szCs w:val="24"/>
        </w:rPr>
        <w:t>,</w:t>
      </w:r>
      <w:r w:rsidR="00AC0E33" w:rsidRPr="00615171">
        <w:rPr>
          <w:rFonts w:asciiTheme="majorBidi" w:hAnsiTheme="majorBidi" w:cstheme="majorBidi"/>
          <w:color w:val="000000" w:themeColor="text1"/>
          <w:sz w:val="24"/>
          <w:szCs w:val="24"/>
        </w:rPr>
        <w:t xml:space="preserve"> and more exposure to physically demanding or dangerous work compared to those who have a higher occupational status. Psychological stress in the workplace, such as low</w:t>
      </w:r>
      <w:r w:rsidR="009A52A0" w:rsidRPr="00615171">
        <w:rPr>
          <w:rFonts w:asciiTheme="majorBidi" w:hAnsiTheme="majorBidi" w:cstheme="majorBidi"/>
          <w:color w:val="000000" w:themeColor="text1"/>
          <w:sz w:val="24"/>
          <w:szCs w:val="24"/>
        </w:rPr>
        <w:t>er</w:t>
      </w:r>
      <w:r w:rsidR="00AC0E33" w:rsidRPr="00615171">
        <w:rPr>
          <w:rFonts w:asciiTheme="majorBidi" w:hAnsiTheme="majorBidi" w:cstheme="majorBidi"/>
          <w:color w:val="000000" w:themeColor="text1"/>
          <w:sz w:val="24"/>
          <w:szCs w:val="24"/>
        </w:rPr>
        <w:t xml:space="preserve"> autonomy, restrictions on participation in decision making and discriminatory practices can also cause ill health (The Marmot Review, 2010). </w:t>
      </w:r>
      <w:r w:rsidR="00A92A7D" w:rsidRPr="00615171">
        <w:rPr>
          <w:rFonts w:asciiTheme="majorBidi" w:hAnsiTheme="majorBidi" w:cstheme="majorBidi"/>
          <w:color w:val="000000" w:themeColor="text1"/>
          <w:sz w:val="24"/>
          <w:szCs w:val="24"/>
        </w:rPr>
        <w:t xml:space="preserve">The Whitehall II studies of </w:t>
      </w:r>
      <w:r w:rsidR="00265C0A" w:rsidRPr="00615171">
        <w:rPr>
          <w:rFonts w:asciiTheme="majorBidi" w:hAnsiTheme="majorBidi" w:cstheme="majorBidi"/>
          <w:color w:val="000000" w:themeColor="text1"/>
          <w:sz w:val="24"/>
          <w:szCs w:val="24"/>
        </w:rPr>
        <w:t xml:space="preserve">the </w:t>
      </w:r>
      <w:r w:rsidR="00A92A7D" w:rsidRPr="00615171">
        <w:rPr>
          <w:rFonts w:asciiTheme="majorBidi" w:hAnsiTheme="majorBidi" w:cstheme="majorBidi"/>
          <w:color w:val="000000" w:themeColor="text1"/>
          <w:sz w:val="24"/>
          <w:szCs w:val="24"/>
        </w:rPr>
        <w:t>UK civil servants, for example, document</w:t>
      </w:r>
      <w:r w:rsidR="00E13A77" w:rsidRPr="00615171">
        <w:rPr>
          <w:rFonts w:asciiTheme="majorBidi" w:hAnsiTheme="majorBidi" w:cstheme="majorBidi"/>
          <w:color w:val="000000" w:themeColor="text1"/>
          <w:sz w:val="24"/>
          <w:szCs w:val="24"/>
        </w:rPr>
        <w:t>ed</w:t>
      </w:r>
      <w:r w:rsidR="00A92A7D" w:rsidRPr="00615171">
        <w:rPr>
          <w:rFonts w:asciiTheme="majorBidi" w:hAnsiTheme="majorBidi" w:cstheme="majorBidi"/>
          <w:color w:val="000000" w:themeColor="text1"/>
          <w:sz w:val="24"/>
          <w:szCs w:val="24"/>
        </w:rPr>
        <w:t xml:space="preserve"> that civil servants in lower prestigious jobs were more likely to experience higher rates of mortality from all causes in particular from cardiovascular disorders (Marmot </w:t>
      </w:r>
      <w:r w:rsidR="00A92A7D" w:rsidRPr="00615171">
        <w:rPr>
          <w:rFonts w:asciiTheme="majorBidi" w:hAnsiTheme="majorBidi" w:cstheme="majorBidi"/>
          <w:i/>
          <w:color w:val="000000" w:themeColor="text1"/>
          <w:sz w:val="24"/>
          <w:szCs w:val="24"/>
        </w:rPr>
        <w:t>et al.</w:t>
      </w:r>
      <w:r w:rsidR="00A92A7D" w:rsidRPr="00615171">
        <w:rPr>
          <w:rFonts w:asciiTheme="majorBidi" w:hAnsiTheme="majorBidi" w:cstheme="majorBidi"/>
          <w:color w:val="000000" w:themeColor="text1"/>
          <w:sz w:val="24"/>
          <w:szCs w:val="24"/>
        </w:rPr>
        <w:t xml:space="preserve">, 1978; Marmot </w:t>
      </w:r>
      <w:r w:rsidR="00A92A7D" w:rsidRPr="00615171">
        <w:rPr>
          <w:rFonts w:asciiTheme="majorBidi" w:hAnsiTheme="majorBidi" w:cstheme="majorBidi"/>
          <w:i/>
          <w:color w:val="000000" w:themeColor="text1"/>
          <w:sz w:val="24"/>
          <w:szCs w:val="24"/>
        </w:rPr>
        <w:t>et al.</w:t>
      </w:r>
      <w:r w:rsidR="00A92A7D" w:rsidRPr="00615171">
        <w:rPr>
          <w:rFonts w:asciiTheme="majorBidi" w:hAnsiTheme="majorBidi" w:cstheme="majorBidi"/>
          <w:color w:val="000000" w:themeColor="text1"/>
          <w:sz w:val="24"/>
          <w:szCs w:val="24"/>
        </w:rPr>
        <w:t xml:space="preserve">, 1991). As with education, a person’s occupational grade is positively associated with having a sense of control over their health, work and job satisfaction. This can be seen in Figure 5 where civil servants in a lower occupational grade have little sense of control whereas those in a higher grade have a stronger sense of control. This social gradient is linked to increased rates of absence from work place due to physical or mental illness and cardiovascular diseases. A similar gradient is also “reflected in the metabolic syndrome which is a combination of risk factors for diabetic and heart diseases’ (The Marmot Review, 2010:73). </w:t>
      </w:r>
    </w:p>
    <w:p w14:paraId="46928A7C" w14:textId="4DCB763D" w:rsidR="00E56164" w:rsidRDefault="00E56164">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14:paraId="1183F34E" w14:textId="77777777" w:rsidR="00A92A7D" w:rsidRPr="00615171" w:rsidRDefault="00A92A7D" w:rsidP="00792B67">
      <w:pPr>
        <w:spacing w:after="0" w:line="240" w:lineRule="auto"/>
        <w:ind w:firstLine="720"/>
        <w:jc w:val="both"/>
        <w:rPr>
          <w:rFonts w:asciiTheme="majorBidi" w:hAnsiTheme="majorBidi" w:cstheme="majorBidi"/>
          <w:color w:val="000000" w:themeColor="text1"/>
          <w:sz w:val="24"/>
          <w:szCs w:val="24"/>
        </w:rPr>
      </w:pPr>
    </w:p>
    <w:p w14:paraId="6DC1805D" w14:textId="77777777" w:rsidR="00A63088" w:rsidRPr="00615171" w:rsidRDefault="00A63088" w:rsidP="0062373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Figure</w:t>
      </w:r>
      <w:r w:rsidR="00847D95" w:rsidRPr="00615171">
        <w:rPr>
          <w:rFonts w:asciiTheme="majorBidi" w:hAnsiTheme="majorBidi" w:cstheme="majorBidi"/>
          <w:color w:val="000000" w:themeColor="text1"/>
          <w:sz w:val="24"/>
          <w:szCs w:val="24"/>
        </w:rPr>
        <w:t xml:space="preserve"> 5</w:t>
      </w:r>
      <w:r w:rsidRPr="00615171">
        <w:rPr>
          <w:rFonts w:asciiTheme="majorBidi" w:hAnsiTheme="majorBidi" w:cstheme="majorBidi"/>
          <w:color w:val="000000" w:themeColor="text1"/>
          <w:sz w:val="24"/>
          <w:szCs w:val="24"/>
        </w:rPr>
        <w:t>: The association between civil servants’ grade with job control, 1985-88</w:t>
      </w:r>
      <w:r w:rsidR="00CB1DAE" w:rsidRPr="00615171">
        <w:rPr>
          <w:rFonts w:asciiTheme="majorBidi" w:hAnsiTheme="majorBidi" w:cstheme="majorBidi"/>
          <w:color w:val="000000" w:themeColor="text1"/>
          <w:sz w:val="24"/>
          <w:szCs w:val="24"/>
        </w:rPr>
        <w:t xml:space="preserve"> </w:t>
      </w:r>
    </w:p>
    <w:p w14:paraId="7756E31B" w14:textId="0AE6E4C4" w:rsidR="00CB1DAE" w:rsidRPr="00615171" w:rsidRDefault="00A63088" w:rsidP="00265C0A">
      <w:pPr>
        <w:tabs>
          <w:tab w:val="left" w:pos="3684"/>
        </w:tabs>
        <w:spacing w:after="0" w:line="240" w:lineRule="auto"/>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Civil servants’ employment grade</w:t>
      </w:r>
      <w:r w:rsidR="00265C0A" w:rsidRPr="00615171">
        <w:rPr>
          <w:rFonts w:asciiTheme="majorBidi" w:hAnsiTheme="majorBidi" w:cstheme="majorBidi"/>
          <w:color w:val="000000" w:themeColor="text1"/>
          <w:sz w:val="24"/>
          <w:szCs w:val="24"/>
        </w:rPr>
        <w:t>.</w:t>
      </w:r>
    </w:p>
    <w:p w14:paraId="598D971C" w14:textId="77777777" w:rsidR="009C69F3" w:rsidRPr="00615171" w:rsidRDefault="009C69F3" w:rsidP="00623739">
      <w:pPr>
        <w:tabs>
          <w:tab w:val="left" w:pos="3684"/>
        </w:tabs>
        <w:spacing w:after="0" w:line="240" w:lineRule="auto"/>
        <w:jc w:val="both"/>
        <w:rPr>
          <w:rFonts w:asciiTheme="majorBidi" w:hAnsiTheme="majorBidi" w:cstheme="majorBidi"/>
          <w:color w:val="000000" w:themeColor="text1"/>
          <w:sz w:val="24"/>
          <w:szCs w:val="24"/>
        </w:rPr>
      </w:pPr>
    </w:p>
    <w:p w14:paraId="5B537D8A" w14:textId="77777777" w:rsidR="00A63088" w:rsidRPr="00615171" w:rsidRDefault="00CB1DAE" w:rsidP="008F154E">
      <w:pPr>
        <w:tabs>
          <w:tab w:val="left" w:pos="3684"/>
        </w:tabs>
        <w:spacing w:after="0" w:line="240" w:lineRule="auto"/>
        <w:jc w:val="center"/>
        <w:rPr>
          <w:rFonts w:asciiTheme="majorBidi" w:hAnsiTheme="majorBidi" w:cstheme="majorBidi"/>
          <w:color w:val="000000" w:themeColor="text1"/>
          <w:sz w:val="24"/>
          <w:szCs w:val="24"/>
        </w:rPr>
      </w:pPr>
      <w:r w:rsidRPr="00615171">
        <w:rPr>
          <w:rFonts w:asciiTheme="majorBidi" w:hAnsiTheme="majorBidi" w:cstheme="majorBidi"/>
          <w:noProof/>
          <w:color w:val="000000" w:themeColor="text1"/>
          <w:sz w:val="24"/>
          <w:szCs w:val="24"/>
          <w:lang w:val="en-GB" w:eastAsia="zh-CN"/>
        </w:rPr>
        <w:drawing>
          <wp:inline distT="0" distB="0" distL="0" distR="0" wp14:anchorId="68F1E918" wp14:editId="23883D66">
            <wp:extent cx="5133068" cy="2565400"/>
            <wp:effectExtent l="19050" t="1905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contrast="20000"/>
                    </a:blip>
                    <a:srcRect/>
                    <a:stretch>
                      <a:fillRect/>
                    </a:stretch>
                  </pic:blipFill>
                  <pic:spPr bwMode="auto">
                    <a:xfrm>
                      <a:off x="0" y="0"/>
                      <a:ext cx="5142308" cy="2570018"/>
                    </a:xfrm>
                    <a:prstGeom prst="rect">
                      <a:avLst/>
                    </a:prstGeom>
                    <a:noFill/>
                    <a:ln w="9525">
                      <a:solidFill>
                        <a:schemeClr val="accent1"/>
                      </a:solidFill>
                      <a:miter lim="800000"/>
                      <a:headEnd/>
                      <a:tailEnd/>
                    </a:ln>
                  </pic:spPr>
                </pic:pic>
              </a:graphicData>
            </a:graphic>
          </wp:inline>
        </w:drawing>
      </w:r>
    </w:p>
    <w:p w14:paraId="0E4E2EF5" w14:textId="0D9D1F88" w:rsidR="00A63088" w:rsidRPr="00615171" w:rsidRDefault="00A63088" w:rsidP="00623739">
      <w:pPr>
        <w:spacing w:after="0" w:line="240" w:lineRule="auto"/>
        <w:ind w:firstLine="720"/>
        <w:jc w:val="both"/>
        <w:rPr>
          <w:rFonts w:asciiTheme="majorBidi" w:hAnsiTheme="majorBidi" w:cstheme="majorBidi"/>
          <w:i/>
          <w:iCs/>
          <w:color w:val="000000" w:themeColor="text1"/>
          <w:sz w:val="24"/>
          <w:szCs w:val="24"/>
        </w:rPr>
      </w:pPr>
      <w:r w:rsidRPr="00615171">
        <w:rPr>
          <w:rFonts w:asciiTheme="majorBidi" w:hAnsiTheme="majorBidi" w:cstheme="majorBidi"/>
          <w:i/>
          <w:iCs/>
          <w:color w:val="000000" w:themeColor="text1"/>
          <w:sz w:val="24"/>
          <w:szCs w:val="24"/>
        </w:rPr>
        <w:t xml:space="preserve">Source: </w:t>
      </w:r>
      <w:r w:rsidR="00CF3585" w:rsidRPr="00615171">
        <w:rPr>
          <w:rFonts w:asciiTheme="majorBidi" w:hAnsiTheme="majorBidi" w:cstheme="majorBidi"/>
          <w:i/>
          <w:iCs/>
          <w:color w:val="000000" w:themeColor="text1"/>
          <w:sz w:val="24"/>
          <w:szCs w:val="24"/>
        </w:rPr>
        <w:t xml:space="preserve">Marmot et al. (1991), The </w:t>
      </w:r>
      <w:r w:rsidRPr="00615171">
        <w:rPr>
          <w:rFonts w:asciiTheme="majorBidi" w:hAnsiTheme="majorBidi" w:cstheme="majorBidi"/>
          <w:i/>
          <w:iCs/>
          <w:color w:val="000000" w:themeColor="text1"/>
          <w:sz w:val="24"/>
          <w:szCs w:val="24"/>
        </w:rPr>
        <w:t>Whitehall II study</w:t>
      </w:r>
      <w:r w:rsidR="00CF3585" w:rsidRPr="00615171">
        <w:rPr>
          <w:rFonts w:asciiTheme="majorBidi" w:hAnsiTheme="majorBidi" w:cstheme="majorBidi"/>
          <w:i/>
          <w:iCs/>
          <w:color w:val="000000" w:themeColor="text1"/>
          <w:sz w:val="24"/>
          <w:szCs w:val="24"/>
        </w:rPr>
        <w:t xml:space="preserve"> </w:t>
      </w:r>
    </w:p>
    <w:p w14:paraId="5BCEC5A7" w14:textId="77777777" w:rsidR="002A15B3" w:rsidRPr="00615171" w:rsidRDefault="002A15B3" w:rsidP="002A15B3">
      <w:pPr>
        <w:spacing w:after="0" w:line="240" w:lineRule="auto"/>
        <w:ind w:firstLine="720"/>
        <w:jc w:val="both"/>
        <w:rPr>
          <w:rFonts w:asciiTheme="majorBidi" w:hAnsiTheme="majorBidi" w:cstheme="majorBidi"/>
          <w:color w:val="000000" w:themeColor="text1"/>
          <w:sz w:val="24"/>
          <w:szCs w:val="24"/>
        </w:rPr>
      </w:pPr>
    </w:p>
    <w:p w14:paraId="14DF766C" w14:textId="6E591B14" w:rsidR="002A15B3" w:rsidRPr="00615171" w:rsidRDefault="002A15B3" w:rsidP="00A222D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However, the use of occupation as an indicator of SES is problematic particularly for older people</w:t>
      </w:r>
      <w:r w:rsidR="003F0E4F" w:rsidRPr="00615171">
        <w:rPr>
          <w:rFonts w:asciiTheme="majorBidi" w:hAnsiTheme="majorBidi" w:cstheme="majorBidi"/>
          <w:color w:val="000000" w:themeColor="text1"/>
          <w:sz w:val="24"/>
          <w:szCs w:val="24"/>
        </w:rPr>
        <w:t xml:space="preserve"> as m</w:t>
      </w:r>
      <w:r w:rsidR="00574B76" w:rsidRPr="00615171">
        <w:rPr>
          <w:rFonts w:asciiTheme="majorBidi" w:hAnsiTheme="majorBidi" w:cstheme="majorBidi"/>
          <w:color w:val="000000" w:themeColor="text1"/>
          <w:sz w:val="24"/>
          <w:szCs w:val="24"/>
        </w:rPr>
        <w:t>ost of th</w:t>
      </w:r>
      <w:r w:rsidR="003F0E4F" w:rsidRPr="00615171">
        <w:rPr>
          <w:rFonts w:asciiTheme="majorBidi" w:hAnsiTheme="majorBidi" w:cstheme="majorBidi"/>
          <w:color w:val="000000" w:themeColor="text1"/>
          <w:sz w:val="24"/>
          <w:szCs w:val="24"/>
        </w:rPr>
        <w:t>em</w:t>
      </w:r>
      <w:r w:rsidR="00574B76" w:rsidRPr="00615171">
        <w:rPr>
          <w:rFonts w:asciiTheme="majorBidi" w:hAnsiTheme="majorBidi" w:cstheme="majorBidi"/>
          <w:color w:val="000000" w:themeColor="text1"/>
          <w:sz w:val="24"/>
          <w:szCs w:val="24"/>
        </w:rPr>
        <w:t xml:space="preserve"> do not have current</w:t>
      </w:r>
      <w:r w:rsidR="00265C0A" w:rsidRPr="00615171">
        <w:rPr>
          <w:rFonts w:asciiTheme="majorBidi" w:hAnsiTheme="majorBidi" w:cstheme="majorBidi"/>
          <w:color w:val="000000" w:themeColor="text1"/>
          <w:sz w:val="24"/>
          <w:szCs w:val="24"/>
        </w:rPr>
        <w:t>ly in</w:t>
      </w:r>
      <w:r w:rsidR="00574B76" w:rsidRPr="00615171">
        <w:rPr>
          <w:rFonts w:asciiTheme="majorBidi" w:hAnsiTheme="majorBidi" w:cstheme="majorBidi"/>
          <w:color w:val="000000" w:themeColor="text1"/>
          <w:sz w:val="24"/>
          <w:szCs w:val="24"/>
        </w:rPr>
        <w:t xml:space="preserve"> employment</w:t>
      </w:r>
      <w:r w:rsidR="003F0E4F"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In the UK, less than ten per cent of men and five per cent of women aged 65 and over are working in the labour market (Grundy and Hot, 2001). Most of the people in this age group are retired, and social mobility</w:t>
      </w:r>
      <w:r w:rsidR="00265C0A" w:rsidRPr="00615171">
        <w:rPr>
          <w:rFonts w:asciiTheme="majorBidi" w:hAnsiTheme="majorBidi" w:cstheme="majorBidi"/>
          <w:color w:val="000000" w:themeColor="text1"/>
          <w:sz w:val="24"/>
          <w:szCs w:val="24"/>
        </w:rPr>
        <w:t xml:space="preserve"> seemed to </w:t>
      </w:r>
      <w:r w:rsidR="00A222D9" w:rsidRPr="00615171">
        <w:rPr>
          <w:rFonts w:asciiTheme="majorBidi" w:hAnsiTheme="majorBidi" w:cstheme="majorBidi"/>
          <w:color w:val="000000" w:themeColor="text1"/>
          <w:sz w:val="24"/>
          <w:szCs w:val="24"/>
        </w:rPr>
        <w:t xml:space="preserve">have </w:t>
      </w:r>
      <w:r w:rsidR="00265C0A" w:rsidRPr="00615171">
        <w:rPr>
          <w:rFonts w:asciiTheme="majorBidi" w:hAnsiTheme="majorBidi" w:cstheme="majorBidi"/>
          <w:color w:val="000000" w:themeColor="text1"/>
          <w:sz w:val="24"/>
          <w:szCs w:val="24"/>
        </w:rPr>
        <w:t>decline</w:t>
      </w:r>
      <w:r w:rsidR="00A222D9" w:rsidRPr="00615171">
        <w:rPr>
          <w:rFonts w:asciiTheme="majorBidi" w:hAnsiTheme="majorBidi" w:cstheme="majorBidi"/>
          <w:color w:val="000000" w:themeColor="text1"/>
          <w:sz w:val="24"/>
          <w:szCs w:val="24"/>
        </w:rPr>
        <w:t>d</w:t>
      </w:r>
      <w:r w:rsidR="00265C0A" w:rsidRPr="00615171">
        <w:rPr>
          <w:rFonts w:asciiTheme="majorBidi" w:hAnsiTheme="majorBidi" w:cstheme="majorBidi"/>
          <w:color w:val="000000" w:themeColor="text1"/>
          <w:sz w:val="24"/>
          <w:szCs w:val="24"/>
        </w:rPr>
        <w:t xml:space="preserve"> due to poor health</w:t>
      </w:r>
      <w:r w:rsidRPr="00615171">
        <w:rPr>
          <w:rFonts w:asciiTheme="majorBidi" w:hAnsiTheme="majorBidi" w:cstheme="majorBidi"/>
          <w:color w:val="000000" w:themeColor="text1"/>
          <w:sz w:val="24"/>
          <w:szCs w:val="24"/>
        </w:rPr>
        <w:t xml:space="preserve">. </w:t>
      </w:r>
      <w:r w:rsidR="00A222D9" w:rsidRPr="00615171">
        <w:rPr>
          <w:rFonts w:asciiTheme="majorBidi" w:hAnsiTheme="majorBidi" w:cstheme="majorBidi"/>
          <w:color w:val="000000" w:themeColor="text1"/>
          <w:sz w:val="24"/>
          <w:szCs w:val="24"/>
        </w:rPr>
        <w:t xml:space="preserve">The UK retirement provision has been changed recently and older people have now choice to stay in labour market as long as they can. Such a legislation allows many financially better off and to lead a healthier life (Leeson and Khan, 2015). </w:t>
      </w:r>
      <w:r w:rsidRPr="00615171">
        <w:rPr>
          <w:rFonts w:asciiTheme="majorBidi" w:hAnsiTheme="majorBidi" w:cstheme="majorBidi"/>
          <w:color w:val="000000" w:themeColor="text1"/>
          <w:sz w:val="24"/>
          <w:szCs w:val="24"/>
        </w:rPr>
        <w:t xml:space="preserve">In addition, men and women differ substantially both in terms of types of occupation and participation in the labour market (Arber and Ginn, 1993). The occupation of households is </w:t>
      </w:r>
      <w:proofErr w:type="spellStart"/>
      <w:r w:rsidR="009A52A0" w:rsidRPr="00615171">
        <w:rPr>
          <w:rFonts w:asciiTheme="majorBidi" w:hAnsiTheme="majorBidi" w:cstheme="majorBidi"/>
          <w:color w:val="000000" w:themeColor="text1"/>
          <w:sz w:val="24"/>
          <w:szCs w:val="24"/>
        </w:rPr>
        <w:t>centred</w:t>
      </w:r>
      <w:proofErr w:type="spellEnd"/>
      <w:r w:rsidRPr="00615171">
        <w:rPr>
          <w:rFonts w:asciiTheme="majorBidi" w:hAnsiTheme="majorBidi" w:cstheme="majorBidi"/>
          <w:color w:val="000000" w:themeColor="text1"/>
          <w:sz w:val="24"/>
          <w:szCs w:val="24"/>
        </w:rPr>
        <w:t xml:space="preserve"> on a male at the head that is then used to determine the social class for all other members of that household. This means that women are not then accorded social positions (Graham and Kelly, 2004).</w:t>
      </w:r>
    </w:p>
    <w:p w14:paraId="0B7B5102" w14:textId="77777777" w:rsidR="002A15B3" w:rsidRPr="00615171" w:rsidRDefault="002A15B3" w:rsidP="00623739">
      <w:pPr>
        <w:spacing w:after="0" w:line="240" w:lineRule="auto"/>
        <w:jc w:val="both"/>
        <w:rPr>
          <w:rFonts w:asciiTheme="majorBidi" w:hAnsiTheme="majorBidi" w:cstheme="majorBidi"/>
          <w:color w:val="000000" w:themeColor="text1"/>
          <w:sz w:val="24"/>
          <w:szCs w:val="24"/>
        </w:rPr>
      </w:pPr>
    </w:p>
    <w:p w14:paraId="5DDDFE13" w14:textId="15692051" w:rsidR="0017630D" w:rsidRPr="00615171" w:rsidRDefault="00456774" w:rsidP="008A60EE">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Based on the social class, i</w:t>
      </w:r>
      <w:r w:rsidR="00957AD6" w:rsidRPr="00615171">
        <w:rPr>
          <w:rFonts w:asciiTheme="majorBidi" w:hAnsiTheme="majorBidi" w:cstheme="majorBidi"/>
          <w:color w:val="000000" w:themeColor="text1"/>
          <w:sz w:val="24"/>
          <w:szCs w:val="24"/>
        </w:rPr>
        <w:t>nequalities in</w:t>
      </w:r>
      <w:r w:rsidR="00817A76" w:rsidRPr="00615171">
        <w:rPr>
          <w:rFonts w:asciiTheme="majorBidi" w:hAnsiTheme="majorBidi" w:cstheme="majorBidi"/>
          <w:color w:val="000000" w:themeColor="text1"/>
          <w:sz w:val="24"/>
          <w:szCs w:val="24"/>
        </w:rPr>
        <w:t xml:space="preserve"> the</w:t>
      </w:r>
      <w:r w:rsidR="00957AD6" w:rsidRPr="00615171">
        <w:rPr>
          <w:rFonts w:asciiTheme="majorBidi" w:hAnsiTheme="majorBidi" w:cstheme="majorBidi"/>
          <w:color w:val="000000" w:themeColor="text1"/>
          <w:sz w:val="24"/>
          <w:szCs w:val="24"/>
        </w:rPr>
        <w:t xml:space="preserve"> health of older people</w:t>
      </w:r>
      <w:r w:rsidR="00EA72AA"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can be</w:t>
      </w:r>
      <w:r w:rsidR="00FF3DEC" w:rsidRPr="00615171">
        <w:rPr>
          <w:rFonts w:asciiTheme="majorBidi" w:hAnsiTheme="majorBidi" w:cstheme="majorBidi"/>
          <w:color w:val="000000" w:themeColor="text1"/>
          <w:sz w:val="24"/>
          <w:szCs w:val="24"/>
        </w:rPr>
        <w:t xml:space="preserve"> </w:t>
      </w:r>
      <w:r w:rsidR="00817A76" w:rsidRPr="00615171">
        <w:rPr>
          <w:rFonts w:asciiTheme="majorBidi" w:hAnsiTheme="majorBidi" w:cstheme="majorBidi"/>
          <w:color w:val="000000" w:themeColor="text1"/>
          <w:sz w:val="24"/>
          <w:szCs w:val="24"/>
        </w:rPr>
        <w:t>assessed</w:t>
      </w:r>
      <w:r w:rsidR="00FF3DEC" w:rsidRPr="00615171">
        <w:rPr>
          <w:rFonts w:asciiTheme="majorBidi" w:hAnsiTheme="majorBidi" w:cstheme="majorBidi"/>
          <w:color w:val="000000" w:themeColor="text1"/>
          <w:sz w:val="24"/>
          <w:szCs w:val="24"/>
        </w:rPr>
        <w:t xml:space="preserve"> by</w:t>
      </w:r>
      <w:r w:rsidR="00817A76" w:rsidRPr="00615171">
        <w:rPr>
          <w:rFonts w:asciiTheme="majorBidi" w:hAnsiTheme="majorBidi" w:cstheme="majorBidi"/>
          <w:color w:val="000000" w:themeColor="text1"/>
          <w:sz w:val="24"/>
          <w:szCs w:val="24"/>
        </w:rPr>
        <w:t xml:space="preserve"> </w:t>
      </w:r>
      <w:r w:rsidR="00FF3DEC" w:rsidRPr="00615171">
        <w:rPr>
          <w:rFonts w:asciiTheme="majorBidi" w:hAnsiTheme="majorBidi" w:cstheme="majorBidi"/>
          <w:color w:val="000000" w:themeColor="text1"/>
          <w:sz w:val="24"/>
          <w:szCs w:val="24"/>
        </w:rPr>
        <w:t>calcula</w:t>
      </w:r>
      <w:r w:rsidR="00817A76" w:rsidRPr="00615171">
        <w:rPr>
          <w:rFonts w:asciiTheme="majorBidi" w:hAnsiTheme="majorBidi" w:cstheme="majorBidi"/>
          <w:color w:val="000000" w:themeColor="text1"/>
          <w:sz w:val="24"/>
          <w:szCs w:val="24"/>
        </w:rPr>
        <w:t>ting</w:t>
      </w:r>
      <w:r w:rsidR="00FF3DEC" w:rsidRPr="00615171">
        <w:rPr>
          <w:rFonts w:asciiTheme="majorBidi" w:hAnsiTheme="majorBidi" w:cstheme="majorBidi"/>
          <w:color w:val="000000" w:themeColor="text1"/>
          <w:sz w:val="24"/>
          <w:szCs w:val="24"/>
        </w:rPr>
        <w:t xml:space="preserve"> average life expectancy at age 65. </w:t>
      </w:r>
      <w:r w:rsidR="002C344D" w:rsidRPr="00615171">
        <w:rPr>
          <w:rFonts w:asciiTheme="majorBidi" w:hAnsiTheme="majorBidi" w:cstheme="majorBidi"/>
          <w:color w:val="000000" w:themeColor="text1"/>
          <w:sz w:val="24"/>
          <w:szCs w:val="24"/>
        </w:rPr>
        <w:t xml:space="preserve">The ONS Longitudinal Study 1982 to 2006 </w:t>
      </w:r>
      <w:r w:rsidR="00817A76" w:rsidRPr="00615171">
        <w:rPr>
          <w:rFonts w:asciiTheme="majorBidi" w:hAnsiTheme="majorBidi" w:cstheme="majorBidi"/>
          <w:color w:val="000000" w:themeColor="text1"/>
          <w:sz w:val="24"/>
          <w:szCs w:val="24"/>
        </w:rPr>
        <w:t>revealed an apparent social gradient in health using this approach</w:t>
      </w:r>
      <w:r w:rsidR="0075607E" w:rsidRPr="00615171">
        <w:rPr>
          <w:rFonts w:asciiTheme="majorBidi" w:hAnsiTheme="majorBidi" w:cstheme="majorBidi"/>
          <w:color w:val="000000" w:themeColor="text1"/>
          <w:sz w:val="24"/>
          <w:szCs w:val="24"/>
        </w:rPr>
        <w:t xml:space="preserve">. The differentiation in </w:t>
      </w:r>
      <w:r w:rsidR="00205B45" w:rsidRPr="00615171">
        <w:rPr>
          <w:rFonts w:asciiTheme="majorBidi" w:hAnsiTheme="majorBidi" w:cstheme="majorBidi"/>
          <w:color w:val="000000" w:themeColor="text1"/>
          <w:sz w:val="24"/>
          <w:szCs w:val="24"/>
        </w:rPr>
        <w:t xml:space="preserve">average </w:t>
      </w:r>
      <w:r w:rsidR="00402350" w:rsidRPr="00615171">
        <w:rPr>
          <w:rFonts w:asciiTheme="majorBidi" w:hAnsiTheme="majorBidi" w:cstheme="majorBidi"/>
          <w:color w:val="000000" w:themeColor="text1"/>
          <w:sz w:val="24"/>
          <w:szCs w:val="24"/>
        </w:rPr>
        <w:t>life expectancy at age 65</w:t>
      </w:r>
      <w:r w:rsidR="0075607E" w:rsidRPr="00615171">
        <w:rPr>
          <w:rFonts w:asciiTheme="majorBidi" w:hAnsiTheme="majorBidi" w:cstheme="majorBidi"/>
          <w:color w:val="000000" w:themeColor="text1"/>
          <w:sz w:val="24"/>
          <w:szCs w:val="24"/>
        </w:rPr>
        <w:t xml:space="preserve"> </w:t>
      </w:r>
      <w:r w:rsidR="008A60EE" w:rsidRPr="00615171">
        <w:rPr>
          <w:rFonts w:asciiTheme="majorBidi" w:hAnsiTheme="majorBidi" w:cstheme="majorBidi"/>
          <w:color w:val="000000" w:themeColor="text1"/>
          <w:sz w:val="24"/>
          <w:szCs w:val="24"/>
        </w:rPr>
        <w:t>showed that there were</w:t>
      </w:r>
      <w:r w:rsidR="00DC6349" w:rsidRPr="00615171">
        <w:rPr>
          <w:rFonts w:asciiTheme="majorBidi" w:hAnsiTheme="majorBidi" w:cstheme="majorBidi"/>
          <w:color w:val="000000" w:themeColor="text1"/>
          <w:sz w:val="24"/>
          <w:szCs w:val="24"/>
        </w:rPr>
        <w:t xml:space="preserve"> </w:t>
      </w:r>
      <w:r w:rsidR="00B36A75" w:rsidRPr="00615171">
        <w:rPr>
          <w:rFonts w:asciiTheme="majorBidi" w:hAnsiTheme="majorBidi" w:cstheme="majorBidi"/>
          <w:color w:val="000000" w:themeColor="text1"/>
          <w:sz w:val="24"/>
          <w:szCs w:val="24"/>
        </w:rPr>
        <w:t>mark</w:t>
      </w:r>
      <w:r w:rsidR="008C3776" w:rsidRPr="00615171">
        <w:rPr>
          <w:rFonts w:asciiTheme="majorBidi" w:hAnsiTheme="majorBidi" w:cstheme="majorBidi"/>
          <w:color w:val="000000" w:themeColor="text1"/>
          <w:sz w:val="24"/>
          <w:szCs w:val="24"/>
        </w:rPr>
        <w:t>ed</w:t>
      </w:r>
      <w:r w:rsidR="00DC6349" w:rsidRPr="00615171">
        <w:rPr>
          <w:rFonts w:asciiTheme="majorBidi" w:hAnsiTheme="majorBidi" w:cstheme="majorBidi"/>
          <w:color w:val="000000" w:themeColor="text1"/>
          <w:sz w:val="24"/>
          <w:szCs w:val="24"/>
        </w:rPr>
        <w:t xml:space="preserve"> social </w:t>
      </w:r>
      <w:r w:rsidR="0075607E" w:rsidRPr="00615171">
        <w:rPr>
          <w:rFonts w:asciiTheme="majorBidi" w:hAnsiTheme="majorBidi" w:cstheme="majorBidi"/>
          <w:color w:val="000000" w:themeColor="text1"/>
          <w:sz w:val="24"/>
          <w:szCs w:val="24"/>
        </w:rPr>
        <w:t>inequalities in the health of older people</w:t>
      </w:r>
      <w:r w:rsidR="008C3776" w:rsidRPr="00615171">
        <w:rPr>
          <w:rFonts w:asciiTheme="majorBidi" w:hAnsiTheme="majorBidi" w:cstheme="majorBidi"/>
          <w:color w:val="000000" w:themeColor="text1"/>
          <w:sz w:val="24"/>
          <w:szCs w:val="24"/>
        </w:rPr>
        <w:t xml:space="preserve"> between the occupational classes</w:t>
      </w:r>
      <w:r w:rsidR="0075607E" w:rsidRPr="00615171">
        <w:rPr>
          <w:rFonts w:asciiTheme="majorBidi" w:hAnsiTheme="majorBidi" w:cstheme="majorBidi"/>
          <w:color w:val="000000" w:themeColor="text1"/>
          <w:sz w:val="24"/>
          <w:szCs w:val="24"/>
        </w:rPr>
        <w:t xml:space="preserve"> (Table 1). </w:t>
      </w:r>
      <w:r w:rsidR="00F43C3B" w:rsidRPr="00615171">
        <w:rPr>
          <w:rFonts w:asciiTheme="majorBidi" w:hAnsiTheme="majorBidi" w:cstheme="majorBidi"/>
          <w:color w:val="000000" w:themeColor="text1"/>
          <w:sz w:val="24"/>
          <w:szCs w:val="24"/>
        </w:rPr>
        <w:t xml:space="preserve">People </w:t>
      </w:r>
      <w:r w:rsidR="0008079E" w:rsidRPr="00615171">
        <w:rPr>
          <w:rFonts w:asciiTheme="majorBidi" w:hAnsiTheme="majorBidi" w:cstheme="majorBidi"/>
          <w:color w:val="000000" w:themeColor="text1"/>
          <w:sz w:val="24"/>
          <w:szCs w:val="24"/>
        </w:rPr>
        <w:t>in</w:t>
      </w:r>
      <w:r w:rsidR="00F43C3B" w:rsidRPr="00615171">
        <w:rPr>
          <w:rFonts w:asciiTheme="majorBidi" w:hAnsiTheme="majorBidi" w:cstheme="majorBidi"/>
          <w:color w:val="000000" w:themeColor="text1"/>
          <w:sz w:val="24"/>
          <w:szCs w:val="24"/>
        </w:rPr>
        <w:t xml:space="preserve"> higher occupational class</w:t>
      </w:r>
      <w:r w:rsidR="0008079E" w:rsidRPr="00615171">
        <w:rPr>
          <w:rFonts w:asciiTheme="majorBidi" w:hAnsiTheme="majorBidi" w:cstheme="majorBidi"/>
          <w:color w:val="000000" w:themeColor="text1"/>
          <w:sz w:val="24"/>
          <w:szCs w:val="24"/>
        </w:rPr>
        <w:t>es</w:t>
      </w:r>
      <w:r w:rsidR="00F43C3B" w:rsidRPr="00615171">
        <w:rPr>
          <w:rFonts w:asciiTheme="majorBidi" w:hAnsiTheme="majorBidi" w:cstheme="majorBidi"/>
          <w:color w:val="000000" w:themeColor="text1"/>
          <w:sz w:val="24"/>
          <w:szCs w:val="24"/>
        </w:rPr>
        <w:t xml:space="preserve"> h</w:t>
      </w:r>
      <w:r w:rsidR="00544187" w:rsidRPr="00615171">
        <w:rPr>
          <w:rFonts w:asciiTheme="majorBidi" w:hAnsiTheme="majorBidi" w:cstheme="majorBidi"/>
          <w:color w:val="000000" w:themeColor="text1"/>
          <w:sz w:val="24"/>
          <w:szCs w:val="24"/>
        </w:rPr>
        <w:t>ave</w:t>
      </w:r>
      <w:r w:rsidR="0008079E" w:rsidRPr="00615171">
        <w:rPr>
          <w:rFonts w:asciiTheme="majorBidi" w:hAnsiTheme="majorBidi" w:cstheme="majorBidi"/>
          <w:color w:val="000000" w:themeColor="text1"/>
          <w:sz w:val="24"/>
          <w:szCs w:val="24"/>
        </w:rPr>
        <w:t xml:space="preserve"> a</w:t>
      </w:r>
      <w:r w:rsidR="00544187" w:rsidRPr="00615171">
        <w:rPr>
          <w:rFonts w:asciiTheme="majorBidi" w:hAnsiTheme="majorBidi" w:cstheme="majorBidi"/>
          <w:color w:val="000000" w:themeColor="text1"/>
          <w:sz w:val="24"/>
          <w:szCs w:val="24"/>
        </w:rPr>
        <w:t xml:space="preserve"> higher expectation of life </w:t>
      </w:r>
      <w:r w:rsidR="00F43C3B" w:rsidRPr="00615171">
        <w:rPr>
          <w:rFonts w:asciiTheme="majorBidi" w:hAnsiTheme="majorBidi" w:cstheme="majorBidi"/>
          <w:color w:val="000000" w:themeColor="text1"/>
          <w:sz w:val="24"/>
          <w:szCs w:val="24"/>
        </w:rPr>
        <w:t>at age 65 compare</w:t>
      </w:r>
      <w:r w:rsidR="0008079E" w:rsidRPr="00615171">
        <w:rPr>
          <w:rFonts w:asciiTheme="majorBidi" w:hAnsiTheme="majorBidi" w:cstheme="majorBidi"/>
          <w:color w:val="000000" w:themeColor="text1"/>
          <w:sz w:val="24"/>
          <w:szCs w:val="24"/>
        </w:rPr>
        <w:t>d</w:t>
      </w:r>
      <w:r w:rsidR="00544187" w:rsidRPr="00615171">
        <w:rPr>
          <w:rFonts w:asciiTheme="majorBidi" w:hAnsiTheme="majorBidi" w:cstheme="majorBidi"/>
          <w:color w:val="000000" w:themeColor="text1"/>
          <w:sz w:val="24"/>
          <w:szCs w:val="24"/>
        </w:rPr>
        <w:t xml:space="preserve"> to</w:t>
      </w:r>
      <w:r w:rsidR="00F43C3B" w:rsidRPr="00615171">
        <w:rPr>
          <w:rFonts w:asciiTheme="majorBidi" w:hAnsiTheme="majorBidi" w:cstheme="majorBidi"/>
          <w:color w:val="000000" w:themeColor="text1"/>
          <w:sz w:val="24"/>
          <w:szCs w:val="24"/>
        </w:rPr>
        <w:t xml:space="preserve"> those who belong to</w:t>
      </w:r>
      <w:r w:rsidR="0008079E" w:rsidRPr="00615171">
        <w:rPr>
          <w:rFonts w:asciiTheme="majorBidi" w:hAnsiTheme="majorBidi" w:cstheme="majorBidi"/>
          <w:color w:val="000000" w:themeColor="text1"/>
          <w:sz w:val="24"/>
          <w:szCs w:val="24"/>
        </w:rPr>
        <w:t xml:space="preserve"> the</w:t>
      </w:r>
      <w:r w:rsidR="00F43C3B" w:rsidRPr="00615171">
        <w:rPr>
          <w:rFonts w:asciiTheme="majorBidi" w:hAnsiTheme="majorBidi" w:cstheme="majorBidi"/>
          <w:color w:val="000000" w:themeColor="text1"/>
          <w:sz w:val="24"/>
          <w:szCs w:val="24"/>
        </w:rPr>
        <w:t xml:space="preserve"> lower occupational classes.</w:t>
      </w:r>
      <w:r w:rsidR="00544187" w:rsidRPr="00615171">
        <w:rPr>
          <w:rFonts w:asciiTheme="majorBidi" w:hAnsiTheme="majorBidi" w:cstheme="majorBidi"/>
          <w:color w:val="000000" w:themeColor="text1"/>
          <w:sz w:val="24"/>
          <w:szCs w:val="24"/>
        </w:rPr>
        <w:t xml:space="preserve"> </w:t>
      </w:r>
      <w:r w:rsidR="0008079E" w:rsidRPr="00615171">
        <w:rPr>
          <w:rFonts w:asciiTheme="majorBidi" w:hAnsiTheme="majorBidi" w:cstheme="majorBidi"/>
          <w:color w:val="000000" w:themeColor="text1"/>
          <w:sz w:val="24"/>
          <w:szCs w:val="24"/>
        </w:rPr>
        <w:t>I</w:t>
      </w:r>
      <w:r w:rsidR="00544187" w:rsidRPr="00615171">
        <w:rPr>
          <w:rFonts w:asciiTheme="majorBidi" w:hAnsiTheme="majorBidi" w:cstheme="majorBidi"/>
          <w:color w:val="000000" w:themeColor="text1"/>
          <w:sz w:val="24"/>
          <w:szCs w:val="24"/>
        </w:rPr>
        <w:t xml:space="preserve">n 2002-06, </w:t>
      </w:r>
      <w:r w:rsidR="0008079E" w:rsidRPr="00615171">
        <w:rPr>
          <w:rFonts w:asciiTheme="majorBidi" w:hAnsiTheme="majorBidi" w:cstheme="majorBidi"/>
          <w:color w:val="000000" w:themeColor="text1"/>
          <w:sz w:val="24"/>
          <w:szCs w:val="24"/>
        </w:rPr>
        <w:t>people</w:t>
      </w:r>
      <w:r w:rsidR="003D5C42" w:rsidRPr="00615171">
        <w:rPr>
          <w:rFonts w:asciiTheme="majorBidi" w:hAnsiTheme="majorBidi" w:cstheme="majorBidi"/>
          <w:color w:val="000000" w:themeColor="text1"/>
          <w:sz w:val="24"/>
          <w:szCs w:val="24"/>
        </w:rPr>
        <w:t xml:space="preserve"> </w:t>
      </w:r>
      <w:r w:rsidR="0008079E" w:rsidRPr="00615171">
        <w:rPr>
          <w:rFonts w:asciiTheme="majorBidi" w:hAnsiTheme="majorBidi" w:cstheme="majorBidi"/>
          <w:color w:val="000000" w:themeColor="text1"/>
          <w:sz w:val="24"/>
          <w:szCs w:val="24"/>
        </w:rPr>
        <w:t>in</w:t>
      </w:r>
      <w:r w:rsidR="00544187" w:rsidRPr="00615171">
        <w:rPr>
          <w:rFonts w:asciiTheme="majorBidi" w:hAnsiTheme="majorBidi" w:cstheme="majorBidi"/>
          <w:color w:val="000000" w:themeColor="text1"/>
          <w:sz w:val="24"/>
          <w:szCs w:val="24"/>
        </w:rPr>
        <w:t xml:space="preserve"> </w:t>
      </w:r>
      <w:r w:rsidR="00CE48C1" w:rsidRPr="00615171">
        <w:rPr>
          <w:rFonts w:asciiTheme="majorBidi" w:hAnsiTheme="majorBidi" w:cstheme="majorBidi"/>
          <w:color w:val="000000" w:themeColor="text1"/>
          <w:sz w:val="24"/>
          <w:szCs w:val="24"/>
        </w:rPr>
        <w:t>the highest occupational class (</w:t>
      </w:r>
      <w:r w:rsidR="00544187" w:rsidRPr="00615171">
        <w:rPr>
          <w:rFonts w:asciiTheme="majorBidi" w:hAnsiTheme="majorBidi" w:cstheme="majorBidi"/>
          <w:color w:val="000000" w:themeColor="text1"/>
          <w:sz w:val="24"/>
          <w:szCs w:val="24"/>
        </w:rPr>
        <w:t>managerial and professional</w:t>
      </w:r>
      <w:r w:rsidR="00CE48C1" w:rsidRPr="00615171">
        <w:rPr>
          <w:rFonts w:asciiTheme="majorBidi" w:hAnsiTheme="majorBidi" w:cstheme="majorBidi"/>
          <w:color w:val="000000" w:themeColor="text1"/>
          <w:sz w:val="24"/>
          <w:szCs w:val="24"/>
        </w:rPr>
        <w:t>)</w:t>
      </w:r>
      <w:r w:rsidR="00544187" w:rsidRPr="00615171">
        <w:rPr>
          <w:rFonts w:asciiTheme="majorBidi" w:hAnsiTheme="majorBidi" w:cstheme="majorBidi"/>
          <w:color w:val="000000" w:themeColor="text1"/>
          <w:sz w:val="24"/>
          <w:szCs w:val="24"/>
        </w:rPr>
        <w:t xml:space="preserve"> </w:t>
      </w:r>
      <w:r w:rsidR="00CE48C1" w:rsidRPr="00615171">
        <w:rPr>
          <w:rFonts w:asciiTheme="majorBidi" w:hAnsiTheme="majorBidi" w:cstheme="majorBidi"/>
          <w:color w:val="000000" w:themeColor="text1"/>
          <w:sz w:val="24"/>
          <w:szCs w:val="24"/>
        </w:rPr>
        <w:t>expect</w:t>
      </w:r>
      <w:r w:rsidR="0008079E" w:rsidRPr="00615171">
        <w:rPr>
          <w:rFonts w:asciiTheme="majorBidi" w:hAnsiTheme="majorBidi" w:cstheme="majorBidi"/>
          <w:color w:val="000000" w:themeColor="text1"/>
          <w:sz w:val="24"/>
          <w:szCs w:val="24"/>
        </w:rPr>
        <w:t>ed</w:t>
      </w:r>
      <w:r w:rsidR="00CE48C1" w:rsidRPr="00615171">
        <w:rPr>
          <w:rFonts w:asciiTheme="majorBidi" w:hAnsiTheme="majorBidi" w:cstheme="majorBidi"/>
          <w:color w:val="000000" w:themeColor="text1"/>
          <w:sz w:val="24"/>
          <w:szCs w:val="24"/>
        </w:rPr>
        <w:t xml:space="preserve"> to live</w:t>
      </w:r>
      <w:r w:rsidR="003D5C42" w:rsidRPr="00615171">
        <w:rPr>
          <w:rFonts w:asciiTheme="majorBidi" w:hAnsiTheme="majorBidi" w:cstheme="majorBidi"/>
          <w:color w:val="000000" w:themeColor="text1"/>
          <w:sz w:val="24"/>
          <w:szCs w:val="24"/>
        </w:rPr>
        <w:t xml:space="preserve"> almost 20 year</w:t>
      </w:r>
      <w:r w:rsidR="00205B45" w:rsidRPr="00615171">
        <w:rPr>
          <w:rFonts w:asciiTheme="majorBidi" w:hAnsiTheme="majorBidi" w:cstheme="majorBidi"/>
          <w:color w:val="000000" w:themeColor="text1"/>
          <w:sz w:val="24"/>
          <w:szCs w:val="24"/>
        </w:rPr>
        <w:t>s</w:t>
      </w:r>
      <w:r w:rsidR="0008079E" w:rsidRPr="00615171">
        <w:rPr>
          <w:rFonts w:asciiTheme="majorBidi" w:hAnsiTheme="majorBidi" w:cstheme="majorBidi"/>
          <w:color w:val="000000" w:themeColor="text1"/>
          <w:sz w:val="24"/>
          <w:szCs w:val="24"/>
        </w:rPr>
        <w:t xml:space="preserve"> more</w:t>
      </w:r>
      <w:r w:rsidR="001D772A" w:rsidRPr="00615171">
        <w:rPr>
          <w:rFonts w:asciiTheme="majorBidi" w:hAnsiTheme="majorBidi" w:cstheme="majorBidi"/>
          <w:color w:val="000000" w:themeColor="text1"/>
          <w:sz w:val="24"/>
          <w:szCs w:val="24"/>
        </w:rPr>
        <w:t xml:space="preserve"> at their 65</w:t>
      </w:r>
      <w:r w:rsidR="001D772A" w:rsidRPr="00615171">
        <w:rPr>
          <w:rFonts w:asciiTheme="majorBidi" w:hAnsiTheme="majorBidi" w:cstheme="majorBidi"/>
          <w:color w:val="000000" w:themeColor="text1"/>
          <w:sz w:val="24"/>
          <w:szCs w:val="24"/>
          <w:vertAlign w:val="superscript"/>
        </w:rPr>
        <w:t>th</w:t>
      </w:r>
      <w:r w:rsidR="001D772A" w:rsidRPr="00615171">
        <w:rPr>
          <w:rFonts w:asciiTheme="majorBidi" w:hAnsiTheme="majorBidi" w:cstheme="majorBidi"/>
          <w:color w:val="000000" w:themeColor="text1"/>
          <w:sz w:val="24"/>
          <w:szCs w:val="24"/>
        </w:rPr>
        <w:t xml:space="preserve"> birthday</w:t>
      </w:r>
      <w:r w:rsidR="003D5C42" w:rsidRPr="00615171">
        <w:rPr>
          <w:rFonts w:asciiTheme="majorBidi" w:hAnsiTheme="majorBidi" w:cstheme="majorBidi"/>
          <w:color w:val="000000" w:themeColor="text1"/>
          <w:sz w:val="24"/>
          <w:szCs w:val="24"/>
        </w:rPr>
        <w:t xml:space="preserve"> (</w:t>
      </w:r>
      <w:r w:rsidR="0008079E" w:rsidRPr="00615171">
        <w:rPr>
          <w:rFonts w:asciiTheme="majorBidi" w:hAnsiTheme="majorBidi" w:cstheme="majorBidi"/>
          <w:color w:val="000000" w:themeColor="text1"/>
          <w:sz w:val="24"/>
          <w:szCs w:val="24"/>
        </w:rPr>
        <w:t xml:space="preserve">on average, </w:t>
      </w:r>
      <w:r w:rsidR="003D5C42" w:rsidRPr="00615171">
        <w:rPr>
          <w:rFonts w:asciiTheme="majorBidi" w:hAnsiTheme="majorBidi" w:cstheme="majorBidi"/>
          <w:color w:val="000000" w:themeColor="text1"/>
          <w:sz w:val="24"/>
          <w:szCs w:val="24"/>
        </w:rPr>
        <w:t>18.8 years for m</w:t>
      </w:r>
      <w:r w:rsidR="00797F3C" w:rsidRPr="00615171">
        <w:rPr>
          <w:rFonts w:asciiTheme="majorBidi" w:hAnsiTheme="majorBidi" w:cstheme="majorBidi"/>
          <w:color w:val="000000" w:themeColor="text1"/>
          <w:sz w:val="24"/>
          <w:szCs w:val="24"/>
        </w:rPr>
        <w:t>ales</w:t>
      </w:r>
      <w:r w:rsidR="003D5C42" w:rsidRPr="00615171">
        <w:rPr>
          <w:rFonts w:asciiTheme="majorBidi" w:hAnsiTheme="majorBidi" w:cstheme="majorBidi"/>
          <w:color w:val="000000" w:themeColor="text1"/>
          <w:sz w:val="24"/>
          <w:szCs w:val="24"/>
        </w:rPr>
        <w:t xml:space="preserve"> and 2</w:t>
      </w:r>
      <w:r w:rsidR="00963AA4" w:rsidRPr="00615171">
        <w:rPr>
          <w:rFonts w:asciiTheme="majorBidi" w:hAnsiTheme="majorBidi" w:cstheme="majorBidi"/>
          <w:color w:val="000000" w:themeColor="text1"/>
          <w:sz w:val="24"/>
          <w:szCs w:val="24"/>
        </w:rPr>
        <w:t>1</w:t>
      </w:r>
      <w:r w:rsidR="003D5C42" w:rsidRPr="00615171">
        <w:rPr>
          <w:rFonts w:asciiTheme="majorBidi" w:hAnsiTheme="majorBidi" w:cstheme="majorBidi"/>
          <w:color w:val="000000" w:themeColor="text1"/>
          <w:sz w:val="24"/>
          <w:szCs w:val="24"/>
        </w:rPr>
        <w:t xml:space="preserve">.7 years for </w:t>
      </w:r>
      <w:r w:rsidR="00797F3C" w:rsidRPr="00615171">
        <w:rPr>
          <w:rFonts w:asciiTheme="majorBidi" w:hAnsiTheme="majorBidi" w:cstheme="majorBidi"/>
          <w:color w:val="000000" w:themeColor="text1"/>
          <w:sz w:val="24"/>
          <w:szCs w:val="24"/>
        </w:rPr>
        <w:t>females</w:t>
      </w:r>
      <w:r w:rsidR="003D5C42" w:rsidRPr="00615171">
        <w:rPr>
          <w:rFonts w:asciiTheme="majorBidi" w:hAnsiTheme="majorBidi" w:cstheme="majorBidi"/>
          <w:color w:val="000000" w:themeColor="text1"/>
          <w:sz w:val="24"/>
          <w:szCs w:val="24"/>
        </w:rPr>
        <w:t>)</w:t>
      </w:r>
      <w:r w:rsidR="009A52A0" w:rsidRPr="00615171">
        <w:rPr>
          <w:rFonts w:asciiTheme="majorBidi" w:hAnsiTheme="majorBidi" w:cstheme="majorBidi"/>
          <w:color w:val="000000" w:themeColor="text1"/>
          <w:sz w:val="24"/>
          <w:szCs w:val="24"/>
        </w:rPr>
        <w:t>,</w:t>
      </w:r>
      <w:r w:rsidR="003D5C42" w:rsidRPr="00615171">
        <w:rPr>
          <w:rFonts w:asciiTheme="majorBidi" w:hAnsiTheme="majorBidi" w:cstheme="majorBidi"/>
          <w:color w:val="000000" w:themeColor="text1"/>
          <w:sz w:val="24"/>
          <w:szCs w:val="24"/>
        </w:rPr>
        <w:t xml:space="preserve"> whereas</w:t>
      </w:r>
      <w:r w:rsidR="009A52A0" w:rsidRPr="00615171">
        <w:rPr>
          <w:rFonts w:asciiTheme="majorBidi" w:hAnsiTheme="majorBidi" w:cstheme="majorBidi"/>
          <w:color w:val="000000" w:themeColor="text1"/>
          <w:sz w:val="24"/>
          <w:szCs w:val="24"/>
        </w:rPr>
        <w:t>,</w:t>
      </w:r>
      <w:r w:rsidR="003D5C42" w:rsidRPr="00615171">
        <w:rPr>
          <w:rFonts w:asciiTheme="majorBidi" w:hAnsiTheme="majorBidi" w:cstheme="majorBidi"/>
          <w:color w:val="000000" w:themeColor="text1"/>
          <w:sz w:val="24"/>
          <w:szCs w:val="24"/>
        </w:rPr>
        <w:t xml:space="preserve"> people </w:t>
      </w:r>
      <w:r w:rsidR="0008079E" w:rsidRPr="00615171">
        <w:rPr>
          <w:rFonts w:asciiTheme="majorBidi" w:hAnsiTheme="majorBidi" w:cstheme="majorBidi"/>
          <w:color w:val="000000" w:themeColor="text1"/>
          <w:sz w:val="24"/>
          <w:szCs w:val="24"/>
        </w:rPr>
        <w:t>in</w:t>
      </w:r>
      <w:r w:rsidR="003D5C42" w:rsidRPr="00615171">
        <w:rPr>
          <w:rFonts w:asciiTheme="majorBidi" w:hAnsiTheme="majorBidi" w:cstheme="majorBidi"/>
          <w:color w:val="000000" w:themeColor="text1"/>
          <w:sz w:val="24"/>
          <w:szCs w:val="24"/>
        </w:rPr>
        <w:t xml:space="preserve"> the lowest occupational class (</w:t>
      </w:r>
      <w:r w:rsidR="0008079E" w:rsidRPr="00615171">
        <w:rPr>
          <w:rFonts w:asciiTheme="majorBidi" w:hAnsiTheme="majorBidi" w:cstheme="majorBidi"/>
          <w:color w:val="000000" w:themeColor="text1"/>
          <w:sz w:val="24"/>
          <w:szCs w:val="24"/>
        </w:rPr>
        <w:t>r</w:t>
      </w:r>
      <w:r w:rsidR="003D5C42" w:rsidRPr="00615171">
        <w:rPr>
          <w:rFonts w:asciiTheme="majorBidi" w:hAnsiTheme="majorBidi" w:cstheme="majorBidi"/>
          <w:color w:val="000000" w:themeColor="text1"/>
          <w:sz w:val="24"/>
          <w:szCs w:val="24"/>
        </w:rPr>
        <w:t>outine work</w:t>
      </w:r>
      <w:r w:rsidR="0008079E" w:rsidRPr="00615171">
        <w:rPr>
          <w:rFonts w:asciiTheme="majorBidi" w:hAnsiTheme="majorBidi" w:cstheme="majorBidi"/>
          <w:color w:val="000000" w:themeColor="text1"/>
          <w:sz w:val="24"/>
          <w:szCs w:val="24"/>
        </w:rPr>
        <w:t xml:space="preserve"> including manual</w:t>
      </w:r>
      <w:r w:rsidR="003D5C42" w:rsidRPr="00615171">
        <w:rPr>
          <w:rFonts w:asciiTheme="majorBidi" w:hAnsiTheme="majorBidi" w:cstheme="majorBidi"/>
          <w:color w:val="000000" w:themeColor="text1"/>
          <w:sz w:val="24"/>
          <w:szCs w:val="24"/>
        </w:rPr>
        <w:t xml:space="preserve">) </w:t>
      </w:r>
      <w:r w:rsidR="009A52A0" w:rsidRPr="00615171">
        <w:rPr>
          <w:rFonts w:asciiTheme="majorBidi" w:hAnsiTheme="majorBidi" w:cstheme="majorBidi"/>
          <w:color w:val="000000" w:themeColor="text1"/>
          <w:sz w:val="24"/>
          <w:szCs w:val="24"/>
        </w:rPr>
        <w:t xml:space="preserve">are </w:t>
      </w:r>
      <w:r w:rsidR="003D5C42" w:rsidRPr="00615171">
        <w:rPr>
          <w:rFonts w:asciiTheme="majorBidi" w:hAnsiTheme="majorBidi" w:cstheme="majorBidi"/>
          <w:color w:val="000000" w:themeColor="text1"/>
          <w:sz w:val="24"/>
          <w:szCs w:val="24"/>
        </w:rPr>
        <w:t>expected to live almost 17</w:t>
      </w:r>
      <w:r w:rsidR="00AE44C8" w:rsidRPr="00615171">
        <w:rPr>
          <w:rFonts w:asciiTheme="majorBidi" w:hAnsiTheme="majorBidi" w:cstheme="majorBidi"/>
          <w:color w:val="000000" w:themeColor="text1"/>
          <w:sz w:val="24"/>
          <w:szCs w:val="24"/>
        </w:rPr>
        <w:t xml:space="preserve"> years</w:t>
      </w:r>
      <w:r w:rsidR="0008079E" w:rsidRPr="00615171">
        <w:rPr>
          <w:rFonts w:asciiTheme="majorBidi" w:hAnsiTheme="majorBidi" w:cstheme="majorBidi"/>
          <w:color w:val="000000" w:themeColor="text1"/>
          <w:sz w:val="24"/>
          <w:szCs w:val="24"/>
        </w:rPr>
        <w:t xml:space="preserve"> mor</w:t>
      </w:r>
      <w:r w:rsidR="00B90068" w:rsidRPr="00615171">
        <w:rPr>
          <w:rFonts w:asciiTheme="majorBidi" w:hAnsiTheme="majorBidi" w:cstheme="majorBidi"/>
          <w:color w:val="000000" w:themeColor="text1"/>
          <w:sz w:val="24"/>
          <w:szCs w:val="24"/>
        </w:rPr>
        <w:t>e</w:t>
      </w:r>
      <w:r w:rsidR="00AE44C8" w:rsidRPr="00615171">
        <w:rPr>
          <w:rFonts w:asciiTheme="majorBidi" w:hAnsiTheme="majorBidi" w:cstheme="majorBidi"/>
          <w:color w:val="000000" w:themeColor="text1"/>
          <w:sz w:val="24"/>
          <w:szCs w:val="24"/>
        </w:rPr>
        <w:t xml:space="preserve"> (</w:t>
      </w:r>
      <w:r w:rsidR="0008079E" w:rsidRPr="00615171">
        <w:rPr>
          <w:rFonts w:asciiTheme="majorBidi" w:hAnsiTheme="majorBidi" w:cstheme="majorBidi"/>
          <w:color w:val="000000" w:themeColor="text1"/>
          <w:sz w:val="24"/>
          <w:szCs w:val="24"/>
        </w:rPr>
        <w:t xml:space="preserve">on average, </w:t>
      </w:r>
      <w:r w:rsidR="00AE44C8" w:rsidRPr="00615171">
        <w:rPr>
          <w:rFonts w:asciiTheme="majorBidi" w:hAnsiTheme="majorBidi" w:cstheme="majorBidi"/>
          <w:color w:val="000000" w:themeColor="text1"/>
          <w:sz w:val="24"/>
          <w:szCs w:val="24"/>
        </w:rPr>
        <w:t>15.3 years</w:t>
      </w:r>
      <w:r w:rsidR="0008079E" w:rsidRPr="00615171">
        <w:rPr>
          <w:rFonts w:asciiTheme="majorBidi" w:hAnsiTheme="majorBidi" w:cstheme="majorBidi"/>
          <w:color w:val="000000" w:themeColor="text1"/>
          <w:sz w:val="24"/>
          <w:szCs w:val="24"/>
        </w:rPr>
        <w:t xml:space="preserve"> for m</w:t>
      </w:r>
      <w:r w:rsidR="00797F3C" w:rsidRPr="00615171">
        <w:rPr>
          <w:rFonts w:asciiTheme="majorBidi" w:hAnsiTheme="majorBidi" w:cstheme="majorBidi"/>
          <w:color w:val="000000" w:themeColor="text1"/>
          <w:sz w:val="24"/>
          <w:szCs w:val="24"/>
        </w:rPr>
        <w:t>ales</w:t>
      </w:r>
      <w:r w:rsidR="00AE44C8" w:rsidRPr="00615171">
        <w:rPr>
          <w:rFonts w:asciiTheme="majorBidi" w:hAnsiTheme="majorBidi" w:cstheme="majorBidi"/>
          <w:color w:val="000000" w:themeColor="text1"/>
          <w:sz w:val="24"/>
          <w:szCs w:val="24"/>
        </w:rPr>
        <w:t xml:space="preserve"> and18.5 years</w:t>
      </w:r>
      <w:r w:rsidR="0008079E" w:rsidRPr="00615171">
        <w:rPr>
          <w:rFonts w:asciiTheme="majorBidi" w:hAnsiTheme="majorBidi" w:cstheme="majorBidi"/>
          <w:color w:val="000000" w:themeColor="text1"/>
          <w:sz w:val="24"/>
          <w:szCs w:val="24"/>
        </w:rPr>
        <w:t xml:space="preserve"> for </w:t>
      </w:r>
      <w:r w:rsidR="00797F3C" w:rsidRPr="00615171">
        <w:rPr>
          <w:rFonts w:asciiTheme="majorBidi" w:hAnsiTheme="majorBidi" w:cstheme="majorBidi"/>
          <w:color w:val="000000" w:themeColor="text1"/>
          <w:sz w:val="24"/>
          <w:szCs w:val="24"/>
        </w:rPr>
        <w:t>females</w:t>
      </w:r>
      <w:r w:rsidR="00AE44C8" w:rsidRPr="00615171">
        <w:rPr>
          <w:rFonts w:asciiTheme="majorBidi" w:hAnsiTheme="majorBidi" w:cstheme="majorBidi"/>
          <w:color w:val="000000" w:themeColor="text1"/>
          <w:sz w:val="24"/>
          <w:szCs w:val="24"/>
        </w:rPr>
        <w:t xml:space="preserve">). </w:t>
      </w:r>
      <w:r w:rsidR="00FC1EAF" w:rsidRPr="00615171">
        <w:rPr>
          <w:rFonts w:asciiTheme="majorBidi" w:hAnsiTheme="majorBidi" w:cstheme="majorBidi"/>
          <w:color w:val="000000" w:themeColor="text1"/>
          <w:sz w:val="24"/>
          <w:szCs w:val="24"/>
        </w:rPr>
        <w:t>The gap between the life expectancy of</w:t>
      </w:r>
      <w:r w:rsidR="0008079E" w:rsidRPr="00615171">
        <w:rPr>
          <w:rFonts w:asciiTheme="majorBidi" w:hAnsiTheme="majorBidi" w:cstheme="majorBidi"/>
          <w:color w:val="000000" w:themeColor="text1"/>
          <w:sz w:val="24"/>
          <w:szCs w:val="24"/>
        </w:rPr>
        <w:t xml:space="preserve"> the</w:t>
      </w:r>
      <w:r w:rsidR="00FC1EAF" w:rsidRPr="00615171">
        <w:rPr>
          <w:rFonts w:asciiTheme="majorBidi" w:hAnsiTheme="majorBidi" w:cstheme="majorBidi"/>
          <w:color w:val="000000" w:themeColor="text1"/>
          <w:sz w:val="24"/>
          <w:szCs w:val="24"/>
        </w:rPr>
        <w:t xml:space="preserve"> highest and lowest occupational groups has widened </w:t>
      </w:r>
      <w:r w:rsidR="00CE48C1" w:rsidRPr="00615171">
        <w:rPr>
          <w:rFonts w:asciiTheme="majorBidi" w:hAnsiTheme="majorBidi" w:cstheme="majorBidi"/>
          <w:color w:val="000000" w:themeColor="text1"/>
          <w:sz w:val="24"/>
          <w:szCs w:val="24"/>
        </w:rPr>
        <w:t>for</w:t>
      </w:r>
      <w:r w:rsidR="00797F3C" w:rsidRPr="00615171">
        <w:rPr>
          <w:rFonts w:asciiTheme="majorBidi" w:hAnsiTheme="majorBidi" w:cstheme="majorBidi"/>
          <w:color w:val="000000" w:themeColor="text1"/>
          <w:sz w:val="24"/>
          <w:szCs w:val="24"/>
        </w:rPr>
        <w:t xml:space="preserve"> both</w:t>
      </w:r>
      <w:r w:rsidR="00CE48C1" w:rsidRPr="00615171">
        <w:rPr>
          <w:rFonts w:asciiTheme="majorBidi" w:hAnsiTheme="majorBidi" w:cstheme="majorBidi"/>
          <w:color w:val="000000" w:themeColor="text1"/>
          <w:sz w:val="24"/>
          <w:szCs w:val="24"/>
        </w:rPr>
        <w:t xml:space="preserve"> male</w:t>
      </w:r>
      <w:r w:rsidR="00797F3C" w:rsidRPr="00615171">
        <w:rPr>
          <w:rFonts w:asciiTheme="majorBidi" w:hAnsiTheme="majorBidi" w:cstheme="majorBidi"/>
          <w:color w:val="000000" w:themeColor="text1"/>
          <w:sz w:val="24"/>
          <w:szCs w:val="24"/>
        </w:rPr>
        <w:t>s</w:t>
      </w:r>
      <w:r w:rsidR="00CE48C1" w:rsidRPr="00615171">
        <w:rPr>
          <w:rFonts w:asciiTheme="majorBidi" w:hAnsiTheme="majorBidi" w:cstheme="majorBidi"/>
          <w:color w:val="000000" w:themeColor="text1"/>
          <w:sz w:val="24"/>
          <w:szCs w:val="24"/>
        </w:rPr>
        <w:t xml:space="preserve"> and female</w:t>
      </w:r>
      <w:r w:rsidR="00797F3C" w:rsidRPr="00615171">
        <w:rPr>
          <w:rFonts w:asciiTheme="majorBidi" w:hAnsiTheme="majorBidi" w:cstheme="majorBidi"/>
          <w:color w:val="000000" w:themeColor="text1"/>
          <w:sz w:val="24"/>
          <w:szCs w:val="24"/>
        </w:rPr>
        <w:t>s</w:t>
      </w:r>
      <w:r w:rsidR="00CE48C1" w:rsidRPr="00615171">
        <w:rPr>
          <w:rFonts w:asciiTheme="majorBidi" w:hAnsiTheme="majorBidi" w:cstheme="majorBidi"/>
          <w:color w:val="000000" w:themeColor="text1"/>
          <w:sz w:val="24"/>
          <w:szCs w:val="24"/>
        </w:rPr>
        <w:t xml:space="preserve"> but </w:t>
      </w:r>
      <w:r w:rsidR="00797F3C" w:rsidRPr="00615171">
        <w:rPr>
          <w:rFonts w:asciiTheme="majorBidi" w:hAnsiTheme="majorBidi" w:cstheme="majorBidi"/>
          <w:color w:val="000000" w:themeColor="text1"/>
          <w:sz w:val="24"/>
          <w:szCs w:val="24"/>
        </w:rPr>
        <w:t xml:space="preserve">is </w:t>
      </w:r>
      <w:r w:rsidR="00FC1EAF" w:rsidRPr="00615171">
        <w:rPr>
          <w:rFonts w:asciiTheme="majorBidi" w:hAnsiTheme="majorBidi" w:cstheme="majorBidi"/>
          <w:color w:val="000000" w:themeColor="text1"/>
          <w:sz w:val="24"/>
          <w:szCs w:val="24"/>
        </w:rPr>
        <w:t>steep</w:t>
      </w:r>
      <w:r w:rsidR="00CE48C1" w:rsidRPr="00615171">
        <w:rPr>
          <w:rFonts w:asciiTheme="majorBidi" w:hAnsiTheme="majorBidi" w:cstheme="majorBidi"/>
          <w:color w:val="000000" w:themeColor="text1"/>
          <w:sz w:val="24"/>
          <w:szCs w:val="24"/>
        </w:rPr>
        <w:t>er</w:t>
      </w:r>
      <w:r w:rsidR="00324A09" w:rsidRPr="00615171">
        <w:rPr>
          <w:rFonts w:asciiTheme="majorBidi" w:hAnsiTheme="majorBidi" w:cstheme="majorBidi"/>
          <w:color w:val="000000" w:themeColor="text1"/>
          <w:sz w:val="24"/>
          <w:szCs w:val="24"/>
        </w:rPr>
        <w:t xml:space="preserve"> for male</w:t>
      </w:r>
      <w:r w:rsidR="00797F3C" w:rsidRPr="00615171">
        <w:rPr>
          <w:rFonts w:asciiTheme="majorBidi" w:hAnsiTheme="majorBidi" w:cstheme="majorBidi"/>
          <w:color w:val="000000" w:themeColor="text1"/>
          <w:sz w:val="24"/>
          <w:szCs w:val="24"/>
        </w:rPr>
        <w:t>s</w:t>
      </w:r>
      <w:r w:rsidR="00324A09" w:rsidRPr="00615171">
        <w:rPr>
          <w:rFonts w:asciiTheme="majorBidi" w:hAnsiTheme="majorBidi" w:cstheme="majorBidi"/>
          <w:color w:val="000000" w:themeColor="text1"/>
          <w:sz w:val="24"/>
          <w:szCs w:val="24"/>
        </w:rPr>
        <w:t xml:space="preserve"> </w:t>
      </w:r>
      <w:r w:rsidR="00797F3C" w:rsidRPr="00615171">
        <w:rPr>
          <w:rFonts w:asciiTheme="majorBidi" w:hAnsiTheme="majorBidi" w:cstheme="majorBidi"/>
          <w:color w:val="000000" w:themeColor="text1"/>
          <w:sz w:val="24"/>
          <w:szCs w:val="24"/>
        </w:rPr>
        <w:t>in</w:t>
      </w:r>
      <w:r w:rsidR="00324A09" w:rsidRPr="00615171">
        <w:rPr>
          <w:rFonts w:asciiTheme="majorBidi" w:hAnsiTheme="majorBidi" w:cstheme="majorBidi"/>
          <w:color w:val="000000" w:themeColor="text1"/>
          <w:sz w:val="24"/>
          <w:szCs w:val="24"/>
        </w:rPr>
        <w:t xml:space="preserve"> the period 1982-86 to 2002-2006. However</w:t>
      </w:r>
      <w:r w:rsidR="00963AA4" w:rsidRPr="00615171">
        <w:rPr>
          <w:rFonts w:asciiTheme="majorBidi" w:hAnsiTheme="majorBidi" w:cstheme="majorBidi"/>
          <w:color w:val="000000" w:themeColor="text1"/>
          <w:sz w:val="24"/>
          <w:szCs w:val="24"/>
        </w:rPr>
        <w:t>,</w:t>
      </w:r>
      <w:r w:rsidR="00324A09" w:rsidRPr="00615171">
        <w:rPr>
          <w:rFonts w:asciiTheme="majorBidi" w:hAnsiTheme="majorBidi" w:cstheme="majorBidi"/>
          <w:color w:val="000000" w:themeColor="text1"/>
          <w:sz w:val="24"/>
          <w:szCs w:val="24"/>
        </w:rPr>
        <w:t xml:space="preserve"> the gap between male and female life expectancy a</w:t>
      </w:r>
      <w:r w:rsidR="00963AA4" w:rsidRPr="00615171">
        <w:rPr>
          <w:rFonts w:asciiTheme="majorBidi" w:hAnsiTheme="majorBidi" w:cstheme="majorBidi"/>
          <w:color w:val="000000" w:themeColor="text1"/>
          <w:sz w:val="24"/>
          <w:szCs w:val="24"/>
        </w:rPr>
        <w:t>t age 65 has narrowed minimally during this</w:t>
      </w:r>
      <w:r w:rsidR="00797F3C" w:rsidRPr="00615171">
        <w:rPr>
          <w:rFonts w:asciiTheme="majorBidi" w:hAnsiTheme="majorBidi" w:cstheme="majorBidi"/>
          <w:color w:val="000000" w:themeColor="text1"/>
          <w:sz w:val="24"/>
          <w:szCs w:val="24"/>
        </w:rPr>
        <w:t xml:space="preserve"> same</w:t>
      </w:r>
      <w:r w:rsidR="00963AA4" w:rsidRPr="00615171">
        <w:rPr>
          <w:rFonts w:asciiTheme="majorBidi" w:hAnsiTheme="majorBidi" w:cstheme="majorBidi"/>
          <w:color w:val="000000" w:themeColor="text1"/>
          <w:sz w:val="24"/>
          <w:szCs w:val="24"/>
        </w:rPr>
        <w:t xml:space="preserve"> period.</w:t>
      </w:r>
    </w:p>
    <w:p w14:paraId="28690ABA" w14:textId="77777777" w:rsidR="00E215E8" w:rsidRPr="00615171" w:rsidRDefault="00E215E8" w:rsidP="00623739">
      <w:pPr>
        <w:spacing w:after="0" w:line="240" w:lineRule="auto"/>
        <w:jc w:val="both"/>
        <w:rPr>
          <w:rFonts w:asciiTheme="majorBidi" w:hAnsiTheme="majorBidi" w:cstheme="majorBidi"/>
          <w:color w:val="000000" w:themeColor="text1"/>
          <w:sz w:val="24"/>
          <w:szCs w:val="24"/>
        </w:rPr>
      </w:pPr>
    </w:p>
    <w:p w14:paraId="6CFFB4BF" w14:textId="77777777" w:rsidR="005A6471" w:rsidRPr="00615171" w:rsidRDefault="005A6471" w:rsidP="00623739">
      <w:pPr>
        <w:spacing w:after="0" w:line="240" w:lineRule="auto"/>
        <w:jc w:val="both"/>
        <w:rPr>
          <w:rFonts w:asciiTheme="majorBidi" w:hAnsiTheme="majorBidi" w:cstheme="majorBidi"/>
          <w:color w:val="000000" w:themeColor="text1"/>
          <w:sz w:val="24"/>
          <w:szCs w:val="24"/>
        </w:rPr>
      </w:pPr>
    </w:p>
    <w:p w14:paraId="28C5EDB6" w14:textId="77777777" w:rsidR="005A6471" w:rsidRPr="00615171" w:rsidRDefault="005A6471" w:rsidP="00623739">
      <w:pPr>
        <w:spacing w:after="0" w:line="240" w:lineRule="auto"/>
        <w:jc w:val="both"/>
        <w:rPr>
          <w:rFonts w:asciiTheme="majorBidi" w:hAnsiTheme="majorBidi" w:cstheme="majorBidi"/>
          <w:color w:val="000000" w:themeColor="text1"/>
          <w:sz w:val="24"/>
          <w:szCs w:val="24"/>
        </w:rPr>
      </w:pPr>
    </w:p>
    <w:p w14:paraId="701CFA5A" w14:textId="51833694" w:rsidR="00EE73E2" w:rsidRPr="00615171" w:rsidRDefault="0010745D" w:rsidP="00EE73E2">
      <w:pPr>
        <w:spacing w:after="0" w:line="240" w:lineRule="auto"/>
        <w:ind w:left="864" w:hanging="864"/>
        <w:jc w:val="center"/>
        <w:rPr>
          <w:rFonts w:asciiTheme="majorBidi" w:hAnsiTheme="majorBidi" w:cstheme="majorBidi"/>
          <w:color w:val="000000" w:themeColor="text1"/>
          <w:sz w:val="24"/>
          <w:szCs w:val="24"/>
        </w:rPr>
      </w:pPr>
      <w:r w:rsidRPr="00615171">
        <w:rPr>
          <w:rFonts w:asciiTheme="majorBidi" w:hAnsiTheme="majorBidi" w:cstheme="majorBidi"/>
          <w:b/>
          <w:color w:val="000000" w:themeColor="text1"/>
          <w:sz w:val="24"/>
          <w:szCs w:val="24"/>
        </w:rPr>
        <w:t>Table 1:</w:t>
      </w:r>
      <w:r w:rsidR="007F39C3" w:rsidRPr="00615171">
        <w:rPr>
          <w:rFonts w:asciiTheme="majorBidi" w:hAnsiTheme="majorBidi" w:cstheme="majorBidi"/>
          <w:color w:val="000000" w:themeColor="text1"/>
          <w:sz w:val="24"/>
          <w:szCs w:val="24"/>
        </w:rPr>
        <w:t xml:space="preserve"> Life expectancy</w:t>
      </w:r>
      <w:r w:rsidR="00E215E8" w:rsidRPr="00615171">
        <w:rPr>
          <w:rFonts w:asciiTheme="majorBidi" w:hAnsiTheme="majorBidi" w:cstheme="majorBidi"/>
          <w:color w:val="000000" w:themeColor="text1"/>
          <w:sz w:val="24"/>
          <w:szCs w:val="24"/>
        </w:rPr>
        <w:t xml:space="preserve"> at age 65 by social class and</w:t>
      </w:r>
      <w:r w:rsidRPr="00615171">
        <w:rPr>
          <w:rFonts w:asciiTheme="majorBidi" w:hAnsiTheme="majorBidi" w:cstheme="majorBidi"/>
          <w:color w:val="000000" w:themeColor="text1"/>
          <w:sz w:val="24"/>
          <w:szCs w:val="24"/>
        </w:rPr>
        <w:t xml:space="preserve"> </w:t>
      </w:r>
      <w:r w:rsidR="0038340A" w:rsidRPr="00615171">
        <w:rPr>
          <w:rFonts w:asciiTheme="majorBidi" w:hAnsiTheme="majorBidi" w:cstheme="majorBidi"/>
          <w:color w:val="000000" w:themeColor="text1"/>
          <w:sz w:val="24"/>
          <w:szCs w:val="24"/>
        </w:rPr>
        <w:t>gender</w:t>
      </w:r>
      <w:r w:rsidR="007608FF" w:rsidRPr="00615171">
        <w:rPr>
          <w:rFonts w:asciiTheme="majorBidi" w:hAnsiTheme="majorBidi" w:cstheme="majorBidi"/>
          <w:color w:val="000000" w:themeColor="text1"/>
          <w:sz w:val="24"/>
          <w:szCs w:val="24"/>
        </w:rPr>
        <w:t xml:space="preserve"> in England and Wales</w:t>
      </w:r>
    </w:p>
    <w:p w14:paraId="3DA965D0" w14:textId="31D1B903" w:rsidR="00885BFA" w:rsidRPr="00615171" w:rsidRDefault="005E0842" w:rsidP="00EE73E2">
      <w:pPr>
        <w:spacing w:after="0" w:line="240" w:lineRule="auto"/>
        <w:ind w:left="864" w:hanging="864"/>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in </w:t>
      </w:r>
      <w:r w:rsidR="00CF2456" w:rsidRPr="00615171">
        <w:rPr>
          <w:rFonts w:asciiTheme="majorBidi" w:hAnsiTheme="majorBidi" w:cstheme="majorBidi"/>
          <w:color w:val="000000" w:themeColor="text1"/>
          <w:sz w:val="24"/>
          <w:szCs w:val="24"/>
        </w:rPr>
        <w:t>1982-86 &amp;</w:t>
      </w:r>
      <w:r w:rsidR="00CB1DAE" w:rsidRPr="00615171">
        <w:rPr>
          <w:rFonts w:asciiTheme="majorBidi" w:hAnsiTheme="majorBidi" w:cstheme="majorBidi"/>
          <w:color w:val="000000" w:themeColor="text1"/>
          <w:sz w:val="24"/>
          <w:szCs w:val="24"/>
        </w:rPr>
        <w:t xml:space="preserve"> </w:t>
      </w:r>
      <w:r w:rsidR="00CF4D3E" w:rsidRPr="00615171">
        <w:rPr>
          <w:rFonts w:asciiTheme="majorBidi" w:hAnsiTheme="majorBidi" w:cstheme="majorBidi"/>
          <w:color w:val="000000" w:themeColor="text1"/>
          <w:sz w:val="24"/>
          <w:szCs w:val="24"/>
        </w:rPr>
        <w:t>2002-2006</w:t>
      </w:r>
      <w:r w:rsidR="00EE73E2" w:rsidRPr="00615171">
        <w:rPr>
          <w:rFonts w:asciiTheme="majorBidi" w:hAnsiTheme="majorBidi" w:cstheme="majorBidi"/>
          <w:color w:val="000000" w:themeColor="text1"/>
          <w:sz w:val="24"/>
          <w:szCs w:val="24"/>
        </w:rPr>
        <w:t>.</w:t>
      </w:r>
    </w:p>
    <w:p w14:paraId="26B3B7FA" w14:textId="77777777" w:rsidR="00CB1DAE" w:rsidRPr="00615171" w:rsidRDefault="00CB1DAE" w:rsidP="00623739">
      <w:pPr>
        <w:spacing w:after="0" w:line="240" w:lineRule="auto"/>
        <w:ind w:left="1008" w:hanging="1008"/>
        <w:jc w:val="both"/>
        <w:rPr>
          <w:rFonts w:asciiTheme="majorBidi" w:hAnsiTheme="majorBidi" w:cstheme="majorBidi"/>
          <w:color w:val="000000" w:themeColor="text1"/>
          <w:sz w:val="24"/>
          <w:szCs w:val="24"/>
        </w:rPr>
      </w:pPr>
    </w:p>
    <w:tbl>
      <w:tblPr>
        <w:tblStyle w:val="TableGrid"/>
        <w:tblW w:w="833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1395"/>
        <w:gridCol w:w="1384"/>
        <w:gridCol w:w="236"/>
        <w:gridCol w:w="1495"/>
        <w:gridCol w:w="1615"/>
      </w:tblGrid>
      <w:tr w:rsidR="00EF4764" w:rsidRPr="00EF4764" w14:paraId="3D14F365" w14:textId="77777777" w:rsidTr="00615171">
        <w:trPr>
          <w:trHeight w:val="350"/>
          <w:jc w:val="center"/>
        </w:trPr>
        <w:tc>
          <w:tcPr>
            <w:tcW w:w="2206" w:type="dxa"/>
            <w:vMerge w:val="restart"/>
            <w:tcBorders>
              <w:top w:val="single" w:sz="12" w:space="0" w:color="auto"/>
              <w:bottom w:val="nil"/>
            </w:tcBorders>
            <w:vAlign w:val="center"/>
          </w:tcPr>
          <w:p w14:paraId="57A5BC5F" w14:textId="77777777" w:rsidR="00C11439" w:rsidRPr="00615171" w:rsidRDefault="00C11439" w:rsidP="00623739">
            <w:pPr>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Social class</w:t>
            </w:r>
          </w:p>
        </w:tc>
        <w:tc>
          <w:tcPr>
            <w:tcW w:w="2779" w:type="dxa"/>
            <w:gridSpan w:val="2"/>
            <w:tcBorders>
              <w:top w:val="single" w:sz="12" w:space="0" w:color="auto"/>
              <w:bottom w:val="single" w:sz="4" w:space="0" w:color="000000" w:themeColor="text1"/>
            </w:tcBorders>
            <w:vAlign w:val="center"/>
          </w:tcPr>
          <w:p w14:paraId="0C387E74" w14:textId="0556D8C3" w:rsidR="00C11439" w:rsidRPr="00615171" w:rsidRDefault="00C11439" w:rsidP="008D4857">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Life expectancy at age</w:t>
            </w:r>
            <w:r w:rsidR="00F174E2"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65</w:t>
            </w:r>
            <w:r w:rsidR="00212DEE">
              <w:rPr>
                <w:rFonts w:asciiTheme="majorBidi" w:hAnsiTheme="majorBidi" w:cstheme="majorBidi"/>
                <w:color w:val="000000" w:themeColor="text1"/>
                <w:sz w:val="24"/>
                <w:szCs w:val="24"/>
              </w:rPr>
              <w:t xml:space="preserve"> </w:t>
            </w:r>
            <w:r w:rsidR="00F174E2" w:rsidRPr="00615171">
              <w:rPr>
                <w:rFonts w:asciiTheme="majorBidi" w:hAnsiTheme="majorBidi" w:cstheme="majorBidi"/>
                <w:color w:val="000000" w:themeColor="text1"/>
                <w:sz w:val="24"/>
                <w:szCs w:val="24"/>
              </w:rPr>
              <w:t>i</w:t>
            </w:r>
            <w:r w:rsidRPr="00615171">
              <w:rPr>
                <w:rFonts w:asciiTheme="majorBidi" w:hAnsiTheme="majorBidi" w:cstheme="majorBidi"/>
                <w:color w:val="000000" w:themeColor="text1"/>
                <w:sz w:val="24"/>
                <w:szCs w:val="24"/>
              </w:rPr>
              <w:t>n 1982-86</w:t>
            </w:r>
          </w:p>
        </w:tc>
        <w:tc>
          <w:tcPr>
            <w:tcW w:w="236" w:type="dxa"/>
            <w:tcBorders>
              <w:top w:val="single" w:sz="12" w:space="0" w:color="auto"/>
              <w:bottom w:val="nil"/>
            </w:tcBorders>
            <w:vAlign w:val="center"/>
          </w:tcPr>
          <w:p w14:paraId="6E57D7DE" w14:textId="77777777" w:rsidR="00C11439" w:rsidRPr="00615171" w:rsidRDefault="00C11439" w:rsidP="009D0215">
            <w:pPr>
              <w:jc w:val="center"/>
              <w:rPr>
                <w:rFonts w:asciiTheme="majorBidi" w:hAnsiTheme="majorBidi" w:cstheme="majorBidi"/>
                <w:color w:val="000000" w:themeColor="text1"/>
                <w:sz w:val="24"/>
                <w:szCs w:val="24"/>
              </w:rPr>
            </w:pPr>
          </w:p>
        </w:tc>
        <w:tc>
          <w:tcPr>
            <w:tcW w:w="3110" w:type="dxa"/>
            <w:gridSpan w:val="2"/>
            <w:tcBorders>
              <w:top w:val="single" w:sz="12" w:space="0" w:color="auto"/>
              <w:bottom w:val="single" w:sz="4" w:space="0" w:color="000000" w:themeColor="text1"/>
            </w:tcBorders>
            <w:vAlign w:val="center"/>
          </w:tcPr>
          <w:p w14:paraId="0EDF8391" w14:textId="6FC67266" w:rsidR="00212DEE"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Life expectancy at age 65 </w:t>
            </w:r>
          </w:p>
          <w:p w14:paraId="3B01548A" w14:textId="2FC70CF2"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in 2002-06</w:t>
            </w:r>
          </w:p>
        </w:tc>
      </w:tr>
      <w:tr w:rsidR="00EF4764" w:rsidRPr="00EF4764" w14:paraId="0CC67122" w14:textId="77777777" w:rsidTr="00615171">
        <w:trPr>
          <w:trHeight w:val="278"/>
          <w:jc w:val="center"/>
        </w:trPr>
        <w:tc>
          <w:tcPr>
            <w:tcW w:w="2206" w:type="dxa"/>
            <w:vMerge/>
            <w:tcBorders>
              <w:top w:val="nil"/>
              <w:bottom w:val="single" w:sz="4" w:space="0" w:color="000000" w:themeColor="text1"/>
            </w:tcBorders>
            <w:vAlign w:val="center"/>
          </w:tcPr>
          <w:p w14:paraId="67CA4B8C" w14:textId="77777777" w:rsidR="00C11439" w:rsidRPr="00615171" w:rsidRDefault="00C11439" w:rsidP="00623739">
            <w:pPr>
              <w:jc w:val="both"/>
              <w:rPr>
                <w:rFonts w:asciiTheme="majorBidi" w:hAnsiTheme="majorBidi" w:cstheme="majorBidi"/>
                <w:color w:val="000000" w:themeColor="text1"/>
                <w:sz w:val="24"/>
                <w:szCs w:val="24"/>
              </w:rPr>
            </w:pPr>
          </w:p>
        </w:tc>
        <w:tc>
          <w:tcPr>
            <w:tcW w:w="1395" w:type="dxa"/>
            <w:tcBorders>
              <w:top w:val="single" w:sz="4" w:space="0" w:color="000000" w:themeColor="text1"/>
              <w:bottom w:val="single" w:sz="4" w:space="0" w:color="000000" w:themeColor="text1"/>
            </w:tcBorders>
            <w:vAlign w:val="center"/>
          </w:tcPr>
          <w:p w14:paraId="56C11C3D"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Male</w:t>
            </w:r>
          </w:p>
        </w:tc>
        <w:tc>
          <w:tcPr>
            <w:tcW w:w="1384" w:type="dxa"/>
            <w:tcBorders>
              <w:top w:val="single" w:sz="4" w:space="0" w:color="000000" w:themeColor="text1"/>
              <w:bottom w:val="single" w:sz="4" w:space="0" w:color="000000" w:themeColor="text1"/>
            </w:tcBorders>
            <w:vAlign w:val="center"/>
          </w:tcPr>
          <w:p w14:paraId="49653CF5"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Female</w:t>
            </w:r>
          </w:p>
        </w:tc>
        <w:tc>
          <w:tcPr>
            <w:tcW w:w="236" w:type="dxa"/>
            <w:tcBorders>
              <w:top w:val="nil"/>
              <w:bottom w:val="single" w:sz="4" w:space="0" w:color="000000" w:themeColor="text1"/>
            </w:tcBorders>
          </w:tcPr>
          <w:p w14:paraId="4BE052F4"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tcBorders>
              <w:top w:val="single" w:sz="4" w:space="0" w:color="000000" w:themeColor="text1"/>
              <w:bottom w:val="single" w:sz="4" w:space="0" w:color="000000" w:themeColor="text1"/>
            </w:tcBorders>
            <w:vAlign w:val="center"/>
          </w:tcPr>
          <w:p w14:paraId="77DB2D35"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Male</w:t>
            </w:r>
          </w:p>
        </w:tc>
        <w:tc>
          <w:tcPr>
            <w:tcW w:w="1615" w:type="dxa"/>
            <w:tcBorders>
              <w:top w:val="single" w:sz="4" w:space="0" w:color="000000" w:themeColor="text1"/>
              <w:bottom w:val="single" w:sz="4" w:space="0" w:color="000000" w:themeColor="text1"/>
            </w:tcBorders>
            <w:vAlign w:val="center"/>
          </w:tcPr>
          <w:p w14:paraId="2E6250E7"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Female</w:t>
            </w:r>
          </w:p>
        </w:tc>
      </w:tr>
      <w:tr w:rsidR="00EF4764" w:rsidRPr="00EF4764" w14:paraId="798E6D39" w14:textId="77777777" w:rsidTr="00615171">
        <w:trPr>
          <w:trHeight w:val="307"/>
          <w:jc w:val="center"/>
        </w:trPr>
        <w:tc>
          <w:tcPr>
            <w:tcW w:w="2206" w:type="dxa"/>
            <w:tcBorders>
              <w:top w:val="single" w:sz="4" w:space="0" w:color="000000" w:themeColor="text1"/>
            </w:tcBorders>
            <w:vAlign w:val="center"/>
          </w:tcPr>
          <w:p w14:paraId="6C9C7336" w14:textId="697917E8" w:rsidR="002C23E2" w:rsidRPr="00615171" w:rsidRDefault="00C11439" w:rsidP="004F5450">
            <w:pP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Higher managerial &amp; professional</w:t>
            </w:r>
          </w:p>
        </w:tc>
        <w:tc>
          <w:tcPr>
            <w:tcW w:w="1395" w:type="dxa"/>
            <w:tcBorders>
              <w:top w:val="single" w:sz="4" w:space="0" w:color="000000" w:themeColor="text1"/>
            </w:tcBorders>
            <w:vAlign w:val="center"/>
          </w:tcPr>
          <w:p w14:paraId="48FCD527"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15.2</w:t>
            </w:r>
          </w:p>
        </w:tc>
        <w:tc>
          <w:tcPr>
            <w:tcW w:w="1384" w:type="dxa"/>
            <w:tcBorders>
              <w:top w:val="single" w:sz="4" w:space="0" w:color="000000" w:themeColor="text1"/>
            </w:tcBorders>
            <w:vAlign w:val="center"/>
          </w:tcPr>
          <w:p w14:paraId="268A20CC"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19.7</w:t>
            </w:r>
          </w:p>
        </w:tc>
        <w:tc>
          <w:tcPr>
            <w:tcW w:w="236" w:type="dxa"/>
            <w:tcBorders>
              <w:top w:val="single" w:sz="4" w:space="0" w:color="000000" w:themeColor="text1"/>
            </w:tcBorders>
          </w:tcPr>
          <w:p w14:paraId="1C18ED9B"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tcBorders>
              <w:top w:val="single" w:sz="4" w:space="0" w:color="000000" w:themeColor="text1"/>
            </w:tcBorders>
            <w:vAlign w:val="center"/>
          </w:tcPr>
          <w:p w14:paraId="03600F55"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18.8</w:t>
            </w:r>
          </w:p>
        </w:tc>
        <w:tc>
          <w:tcPr>
            <w:tcW w:w="1615" w:type="dxa"/>
            <w:tcBorders>
              <w:top w:val="single" w:sz="4" w:space="0" w:color="000000" w:themeColor="text1"/>
            </w:tcBorders>
            <w:vAlign w:val="center"/>
          </w:tcPr>
          <w:p w14:paraId="1738CFF3"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21.7</w:t>
            </w:r>
          </w:p>
        </w:tc>
      </w:tr>
      <w:tr w:rsidR="00EF4764" w:rsidRPr="00EF4764" w14:paraId="06D6014A" w14:textId="77777777" w:rsidTr="00615171">
        <w:trPr>
          <w:trHeight w:val="307"/>
          <w:jc w:val="center"/>
        </w:trPr>
        <w:tc>
          <w:tcPr>
            <w:tcW w:w="2206" w:type="dxa"/>
            <w:vAlign w:val="center"/>
          </w:tcPr>
          <w:p w14:paraId="0DB4A004" w14:textId="65970DCC" w:rsidR="00C11439" w:rsidRPr="00615171" w:rsidRDefault="00C11439" w:rsidP="004F5450">
            <w:pP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Lower managerial &amp; professional</w:t>
            </w:r>
          </w:p>
        </w:tc>
        <w:tc>
          <w:tcPr>
            <w:tcW w:w="1395" w:type="dxa"/>
            <w:vAlign w:val="center"/>
          </w:tcPr>
          <w:p w14:paraId="656B6429"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15.1</w:t>
            </w:r>
          </w:p>
        </w:tc>
        <w:tc>
          <w:tcPr>
            <w:tcW w:w="1384" w:type="dxa"/>
            <w:vAlign w:val="center"/>
          </w:tcPr>
          <w:p w14:paraId="63EE6743"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18.9</w:t>
            </w:r>
          </w:p>
        </w:tc>
        <w:tc>
          <w:tcPr>
            <w:tcW w:w="236" w:type="dxa"/>
          </w:tcPr>
          <w:p w14:paraId="4BFC6488"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vAlign w:val="center"/>
          </w:tcPr>
          <w:p w14:paraId="2CA9A487"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18.2</w:t>
            </w:r>
          </w:p>
        </w:tc>
        <w:tc>
          <w:tcPr>
            <w:tcW w:w="1615" w:type="dxa"/>
            <w:vAlign w:val="center"/>
          </w:tcPr>
          <w:p w14:paraId="031990D6"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21.1</w:t>
            </w:r>
          </w:p>
        </w:tc>
      </w:tr>
      <w:tr w:rsidR="00EF4764" w:rsidRPr="00EF4764" w14:paraId="03E014BC" w14:textId="77777777" w:rsidTr="00615171">
        <w:trPr>
          <w:trHeight w:val="297"/>
          <w:jc w:val="center"/>
        </w:trPr>
        <w:tc>
          <w:tcPr>
            <w:tcW w:w="2206" w:type="dxa"/>
            <w:vAlign w:val="center"/>
          </w:tcPr>
          <w:p w14:paraId="19339DEC" w14:textId="6EF9483D" w:rsidR="00C11439" w:rsidRPr="00615171" w:rsidRDefault="00C11439" w:rsidP="004F5450">
            <w:pP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Intermediate</w:t>
            </w:r>
          </w:p>
        </w:tc>
        <w:tc>
          <w:tcPr>
            <w:tcW w:w="1395" w:type="dxa"/>
            <w:vAlign w:val="center"/>
          </w:tcPr>
          <w:p w14:paraId="6C3E2C0A"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13.9</w:t>
            </w:r>
          </w:p>
        </w:tc>
        <w:tc>
          <w:tcPr>
            <w:tcW w:w="1384" w:type="dxa"/>
            <w:vAlign w:val="center"/>
          </w:tcPr>
          <w:p w14:paraId="282C7C83"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18.3</w:t>
            </w:r>
          </w:p>
        </w:tc>
        <w:tc>
          <w:tcPr>
            <w:tcW w:w="236" w:type="dxa"/>
          </w:tcPr>
          <w:p w14:paraId="4DB17140"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vAlign w:val="center"/>
          </w:tcPr>
          <w:p w14:paraId="2B527EEA"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17.5</w:t>
            </w:r>
          </w:p>
        </w:tc>
        <w:tc>
          <w:tcPr>
            <w:tcW w:w="1615" w:type="dxa"/>
            <w:vAlign w:val="center"/>
          </w:tcPr>
          <w:p w14:paraId="16DBA89C"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20.5</w:t>
            </w:r>
          </w:p>
        </w:tc>
      </w:tr>
      <w:tr w:rsidR="00EF4764" w:rsidRPr="00EF4764" w14:paraId="73A681B4" w14:textId="77777777" w:rsidTr="00615171">
        <w:trPr>
          <w:trHeight w:val="297"/>
          <w:jc w:val="center"/>
        </w:trPr>
        <w:tc>
          <w:tcPr>
            <w:tcW w:w="2206" w:type="dxa"/>
            <w:vAlign w:val="center"/>
          </w:tcPr>
          <w:p w14:paraId="6EB1C188" w14:textId="6C553309" w:rsidR="00C11439" w:rsidRPr="00615171" w:rsidRDefault="00C11439" w:rsidP="004F5450">
            <w:pP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Small employers &amp; own a/c workers</w:t>
            </w:r>
          </w:p>
        </w:tc>
        <w:tc>
          <w:tcPr>
            <w:tcW w:w="1395" w:type="dxa"/>
            <w:vAlign w:val="center"/>
          </w:tcPr>
          <w:p w14:paraId="345A7445"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14</w:t>
            </w:r>
            <w:r w:rsidR="00CB1DAE" w:rsidRPr="00615171">
              <w:rPr>
                <w:rFonts w:asciiTheme="majorBidi" w:hAnsiTheme="majorBidi" w:cstheme="majorBidi"/>
                <w:color w:val="000000" w:themeColor="text1"/>
                <w:sz w:val="24"/>
                <w:szCs w:val="24"/>
              </w:rPr>
              <w:t>.0</w:t>
            </w:r>
          </w:p>
        </w:tc>
        <w:tc>
          <w:tcPr>
            <w:tcW w:w="1384" w:type="dxa"/>
            <w:vAlign w:val="center"/>
          </w:tcPr>
          <w:p w14:paraId="0D2B4A45"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18.6</w:t>
            </w:r>
          </w:p>
        </w:tc>
        <w:tc>
          <w:tcPr>
            <w:tcW w:w="236" w:type="dxa"/>
          </w:tcPr>
          <w:p w14:paraId="50CCEC51"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vAlign w:val="center"/>
          </w:tcPr>
          <w:p w14:paraId="6092C28E"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17.5</w:t>
            </w:r>
          </w:p>
        </w:tc>
        <w:tc>
          <w:tcPr>
            <w:tcW w:w="1615" w:type="dxa"/>
            <w:vAlign w:val="center"/>
          </w:tcPr>
          <w:p w14:paraId="793EA756"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20.5</w:t>
            </w:r>
          </w:p>
        </w:tc>
      </w:tr>
      <w:tr w:rsidR="00EF4764" w:rsidRPr="00EF4764" w14:paraId="1E133D70" w14:textId="77777777" w:rsidTr="00615171">
        <w:trPr>
          <w:trHeight w:val="307"/>
          <w:jc w:val="center"/>
        </w:trPr>
        <w:tc>
          <w:tcPr>
            <w:tcW w:w="2206" w:type="dxa"/>
            <w:vAlign w:val="center"/>
          </w:tcPr>
          <w:p w14:paraId="61131CEA" w14:textId="1B93C93F" w:rsidR="00C11439" w:rsidRPr="00615171" w:rsidRDefault="00C11439" w:rsidP="004F5450">
            <w:pP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Lower supervisory &amp; technical</w:t>
            </w:r>
          </w:p>
        </w:tc>
        <w:tc>
          <w:tcPr>
            <w:tcW w:w="1395" w:type="dxa"/>
            <w:vAlign w:val="center"/>
          </w:tcPr>
          <w:p w14:paraId="35491B1E"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13.4</w:t>
            </w:r>
          </w:p>
        </w:tc>
        <w:tc>
          <w:tcPr>
            <w:tcW w:w="1384" w:type="dxa"/>
            <w:vAlign w:val="center"/>
          </w:tcPr>
          <w:p w14:paraId="50A22D22"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18.7</w:t>
            </w:r>
          </w:p>
        </w:tc>
        <w:tc>
          <w:tcPr>
            <w:tcW w:w="236" w:type="dxa"/>
          </w:tcPr>
          <w:p w14:paraId="78AA4604"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vAlign w:val="center"/>
          </w:tcPr>
          <w:p w14:paraId="374D1166"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16.4</w:t>
            </w:r>
          </w:p>
        </w:tc>
        <w:tc>
          <w:tcPr>
            <w:tcW w:w="1615" w:type="dxa"/>
            <w:vAlign w:val="center"/>
          </w:tcPr>
          <w:p w14:paraId="22A138F8"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18.8</w:t>
            </w:r>
          </w:p>
        </w:tc>
      </w:tr>
      <w:tr w:rsidR="00EF4764" w:rsidRPr="00EF4764" w14:paraId="5934A5C2" w14:textId="77777777" w:rsidTr="00615171">
        <w:trPr>
          <w:trHeight w:val="307"/>
          <w:jc w:val="center"/>
        </w:trPr>
        <w:tc>
          <w:tcPr>
            <w:tcW w:w="2206" w:type="dxa"/>
            <w:vAlign w:val="center"/>
          </w:tcPr>
          <w:p w14:paraId="2E45D507" w14:textId="0F9C3BCC" w:rsidR="00C11439" w:rsidRPr="00615171" w:rsidRDefault="00C11439" w:rsidP="004F5450">
            <w:pP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Semi-routine</w:t>
            </w:r>
          </w:p>
        </w:tc>
        <w:tc>
          <w:tcPr>
            <w:tcW w:w="1395" w:type="dxa"/>
            <w:vAlign w:val="center"/>
          </w:tcPr>
          <w:p w14:paraId="480A3CBE"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12.9</w:t>
            </w:r>
          </w:p>
        </w:tc>
        <w:tc>
          <w:tcPr>
            <w:tcW w:w="1384" w:type="dxa"/>
            <w:vAlign w:val="center"/>
          </w:tcPr>
          <w:p w14:paraId="4BC91EA3"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17.4</w:t>
            </w:r>
          </w:p>
        </w:tc>
        <w:tc>
          <w:tcPr>
            <w:tcW w:w="236" w:type="dxa"/>
          </w:tcPr>
          <w:p w14:paraId="7DA93657"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vAlign w:val="center"/>
          </w:tcPr>
          <w:p w14:paraId="5F96B3B8"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15.6</w:t>
            </w:r>
          </w:p>
        </w:tc>
        <w:tc>
          <w:tcPr>
            <w:tcW w:w="1615" w:type="dxa"/>
            <w:vAlign w:val="center"/>
          </w:tcPr>
          <w:p w14:paraId="33798D76"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19.4</w:t>
            </w:r>
          </w:p>
        </w:tc>
      </w:tr>
      <w:tr w:rsidR="00EF4764" w:rsidRPr="00EF4764" w14:paraId="4F3B7CAA" w14:textId="77777777" w:rsidTr="00615171">
        <w:trPr>
          <w:trHeight w:val="297"/>
          <w:jc w:val="center"/>
        </w:trPr>
        <w:tc>
          <w:tcPr>
            <w:tcW w:w="2206" w:type="dxa"/>
            <w:tcBorders>
              <w:bottom w:val="single" w:sz="4" w:space="0" w:color="000000" w:themeColor="text1"/>
            </w:tcBorders>
            <w:vAlign w:val="center"/>
          </w:tcPr>
          <w:p w14:paraId="35B5FBC5" w14:textId="77AEC6A4" w:rsidR="00C11439" w:rsidRPr="00615171" w:rsidRDefault="00C11439" w:rsidP="004F5450">
            <w:pP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Routine</w:t>
            </w:r>
          </w:p>
        </w:tc>
        <w:tc>
          <w:tcPr>
            <w:tcW w:w="1395" w:type="dxa"/>
            <w:tcBorders>
              <w:bottom w:val="single" w:sz="4" w:space="0" w:color="000000" w:themeColor="text1"/>
            </w:tcBorders>
            <w:vAlign w:val="center"/>
          </w:tcPr>
          <w:p w14:paraId="21889081"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12.9</w:t>
            </w:r>
          </w:p>
        </w:tc>
        <w:tc>
          <w:tcPr>
            <w:tcW w:w="1384" w:type="dxa"/>
            <w:tcBorders>
              <w:bottom w:val="single" w:sz="4" w:space="0" w:color="000000" w:themeColor="text1"/>
            </w:tcBorders>
            <w:vAlign w:val="center"/>
          </w:tcPr>
          <w:p w14:paraId="0F1C79D6"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16.7</w:t>
            </w:r>
          </w:p>
        </w:tc>
        <w:tc>
          <w:tcPr>
            <w:tcW w:w="236" w:type="dxa"/>
            <w:tcBorders>
              <w:bottom w:val="single" w:sz="4" w:space="0" w:color="000000" w:themeColor="text1"/>
            </w:tcBorders>
          </w:tcPr>
          <w:p w14:paraId="527AB978"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tcBorders>
              <w:bottom w:val="single" w:sz="4" w:space="0" w:color="000000" w:themeColor="text1"/>
            </w:tcBorders>
            <w:vAlign w:val="center"/>
          </w:tcPr>
          <w:p w14:paraId="492A094F"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15.3</w:t>
            </w:r>
          </w:p>
        </w:tc>
        <w:tc>
          <w:tcPr>
            <w:tcW w:w="1615" w:type="dxa"/>
            <w:tcBorders>
              <w:bottom w:val="single" w:sz="4" w:space="0" w:color="000000" w:themeColor="text1"/>
            </w:tcBorders>
            <w:vAlign w:val="center"/>
          </w:tcPr>
          <w:p w14:paraId="6CB3F7EF"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18.5</w:t>
            </w:r>
          </w:p>
        </w:tc>
      </w:tr>
      <w:tr w:rsidR="00EF4764" w:rsidRPr="00EF4764" w14:paraId="1BD3D1DD" w14:textId="77777777" w:rsidTr="00615171">
        <w:trPr>
          <w:trHeight w:val="307"/>
          <w:jc w:val="center"/>
        </w:trPr>
        <w:tc>
          <w:tcPr>
            <w:tcW w:w="2206" w:type="dxa"/>
            <w:tcBorders>
              <w:top w:val="single" w:sz="4" w:space="0" w:color="000000" w:themeColor="text1"/>
              <w:bottom w:val="nil"/>
            </w:tcBorders>
            <w:vAlign w:val="center"/>
          </w:tcPr>
          <w:p w14:paraId="4FD29D86" w14:textId="07077100" w:rsidR="00C11439" w:rsidRPr="00615171" w:rsidRDefault="00C11439" w:rsidP="00623739">
            <w:pPr>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All</w:t>
            </w:r>
          </w:p>
        </w:tc>
        <w:tc>
          <w:tcPr>
            <w:tcW w:w="1395" w:type="dxa"/>
            <w:tcBorders>
              <w:top w:val="single" w:sz="4" w:space="0" w:color="000000" w:themeColor="text1"/>
              <w:bottom w:val="nil"/>
            </w:tcBorders>
            <w:vAlign w:val="center"/>
          </w:tcPr>
          <w:p w14:paraId="5DF209F3"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13.1</w:t>
            </w:r>
          </w:p>
        </w:tc>
        <w:tc>
          <w:tcPr>
            <w:tcW w:w="1384" w:type="dxa"/>
            <w:tcBorders>
              <w:top w:val="single" w:sz="4" w:space="0" w:color="000000" w:themeColor="text1"/>
              <w:bottom w:val="nil"/>
            </w:tcBorders>
            <w:vAlign w:val="center"/>
          </w:tcPr>
          <w:p w14:paraId="29749B2D"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17</w:t>
            </w:r>
          </w:p>
        </w:tc>
        <w:tc>
          <w:tcPr>
            <w:tcW w:w="236" w:type="dxa"/>
            <w:tcBorders>
              <w:top w:val="single" w:sz="4" w:space="0" w:color="000000" w:themeColor="text1"/>
              <w:bottom w:val="nil"/>
            </w:tcBorders>
          </w:tcPr>
          <w:p w14:paraId="7971D666"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tcBorders>
              <w:top w:val="single" w:sz="4" w:space="0" w:color="000000" w:themeColor="text1"/>
              <w:bottom w:val="nil"/>
            </w:tcBorders>
            <w:vAlign w:val="center"/>
          </w:tcPr>
          <w:p w14:paraId="1F3B0B15"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16.7</w:t>
            </w:r>
          </w:p>
        </w:tc>
        <w:tc>
          <w:tcPr>
            <w:tcW w:w="1615" w:type="dxa"/>
            <w:tcBorders>
              <w:top w:val="single" w:sz="4" w:space="0" w:color="000000" w:themeColor="text1"/>
              <w:bottom w:val="nil"/>
            </w:tcBorders>
            <w:vAlign w:val="center"/>
          </w:tcPr>
          <w:p w14:paraId="3724DA34"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19.5</w:t>
            </w:r>
          </w:p>
        </w:tc>
      </w:tr>
      <w:tr w:rsidR="00EF4764" w:rsidRPr="00EF4764" w14:paraId="4665E7F2" w14:textId="77777777" w:rsidTr="00615171">
        <w:trPr>
          <w:trHeight w:val="307"/>
          <w:jc w:val="center"/>
        </w:trPr>
        <w:tc>
          <w:tcPr>
            <w:tcW w:w="2206" w:type="dxa"/>
            <w:tcBorders>
              <w:top w:val="nil"/>
              <w:bottom w:val="single" w:sz="12" w:space="0" w:color="000000" w:themeColor="text1"/>
            </w:tcBorders>
            <w:vAlign w:val="center"/>
          </w:tcPr>
          <w:p w14:paraId="2826BE03" w14:textId="53210C5D" w:rsidR="00C11439" w:rsidRPr="00615171" w:rsidRDefault="002C23E2" w:rsidP="009635A6">
            <w:pPr>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Range:</w:t>
            </w:r>
            <w:r w:rsidR="009635A6" w:rsidRPr="00615171">
              <w:rPr>
                <w:rFonts w:asciiTheme="majorBidi" w:hAnsiTheme="majorBidi" w:cstheme="majorBidi"/>
                <w:color w:val="000000" w:themeColor="text1"/>
                <w:sz w:val="24"/>
                <w:szCs w:val="24"/>
              </w:rPr>
              <w:t xml:space="preserve"> </w:t>
            </w:r>
            <w:r w:rsidR="00C11439" w:rsidRPr="00615171">
              <w:rPr>
                <w:rFonts w:asciiTheme="majorBidi" w:hAnsiTheme="majorBidi" w:cstheme="majorBidi"/>
                <w:color w:val="000000" w:themeColor="text1"/>
                <w:sz w:val="24"/>
                <w:szCs w:val="24"/>
              </w:rPr>
              <w:t>highest-lowest</w:t>
            </w:r>
          </w:p>
        </w:tc>
        <w:tc>
          <w:tcPr>
            <w:tcW w:w="1395" w:type="dxa"/>
            <w:tcBorders>
              <w:top w:val="nil"/>
              <w:bottom w:val="single" w:sz="12" w:space="0" w:color="000000" w:themeColor="text1"/>
            </w:tcBorders>
            <w:vAlign w:val="center"/>
          </w:tcPr>
          <w:p w14:paraId="715451CD"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2.3</w:t>
            </w:r>
          </w:p>
        </w:tc>
        <w:tc>
          <w:tcPr>
            <w:tcW w:w="1384" w:type="dxa"/>
            <w:tcBorders>
              <w:top w:val="nil"/>
              <w:bottom w:val="single" w:sz="12" w:space="0" w:color="000000" w:themeColor="text1"/>
            </w:tcBorders>
            <w:vAlign w:val="center"/>
          </w:tcPr>
          <w:p w14:paraId="4AD32813" w14:textId="77777777" w:rsidR="00C11439" w:rsidRPr="00615171" w:rsidRDefault="00C11439" w:rsidP="002C23E2">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3</w:t>
            </w:r>
            <w:r w:rsidR="004E6B0C" w:rsidRPr="00615171">
              <w:rPr>
                <w:rFonts w:asciiTheme="majorBidi" w:hAnsiTheme="majorBidi" w:cstheme="majorBidi"/>
                <w:color w:val="000000" w:themeColor="text1"/>
                <w:sz w:val="24"/>
                <w:szCs w:val="24"/>
              </w:rPr>
              <w:t>.0</w:t>
            </w:r>
          </w:p>
        </w:tc>
        <w:tc>
          <w:tcPr>
            <w:tcW w:w="236" w:type="dxa"/>
            <w:tcBorders>
              <w:top w:val="nil"/>
              <w:bottom w:val="single" w:sz="12" w:space="0" w:color="000000" w:themeColor="text1"/>
            </w:tcBorders>
          </w:tcPr>
          <w:p w14:paraId="21B52B75" w14:textId="77777777" w:rsidR="00C11439" w:rsidRPr="00615171" w:rsidRDefault="00C11439" w:rsidP="00623739">
            <w:pPr>
              <w:jc w:val="both"/>
              <w:rPr>
                <w:rFonts w:asciiTheme="majorBidi" w:hAnsiTheme="majorBidi" w:cstheme="majorBidi"/>
                <w:color w:val="000000" w:themeColor="text1"/>
                <w:sz w:val="24"/>
                <w:szCs w:val="24"/>
              </w:rPr>
            </w:pPr>
          </w:p>
        </w:tc>
        <w:tc>
          <w:tcPr>
            <w:tcW w:w="1495" w:type="dxa"/>
            <w:tcBorders>
              <w:top w:val="nil"/>
              <w:bottom w:val="single" w:sz="12" w:space="0" w:color="000000" w:themeColor="text1"/>
            </w:tcBorders>
            <w:vAlign w:val="center"/>
          </w:tcPr>
          <w:p w14:paraId="3E50F714"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3.5</w:t>
            </w:r>
          </w:p>
        </w:tc>
        <w:tc>
          <w:tcPr>
            <w:tcW w:w="1615" w:type="dxa"/>
            <w:tcBorders>
              <w:top w:val="nil"/>
              <w:bottom w:val="single" w:sz="12" w:space="0" w:color="000000" w:themeColor="text1"/>
            </w:tcBorders>
            <w:vAlign w:val="center"/>
          </w:tcPr>
          <w:p w14:paraId="4323905C" w14:textId="77777777" w:rsidR="00C11439" w:rsidRPr="00615171" w:rsidRDefault="00C11439" w:rsidP="009D0215">
            <w:pPr>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3.2</w:t>
            </w:r>
          </w:p>
        </w:tc>
      </w:tr>
    </w:tbl>
    <w:p w14:paraId="22ED8DFE" w14:textId="4C3D2F5D" w:rsidR="00B15485" w:rsidRPr="00615171" w:rsidRDefault="001501D0" w:rsidP="00623739">
      <w:pPr>
        <w:spacing w:after="0" w:line="240" w:lineRule="auto"/>
        <w:ind w:firstLine="720"/>
        <w:jc w:val="both"/>
        <w:rPr>
          <w:rFonts w:asciiTheme="majorBidi" w:hAnsiTheme="majorBidi" w:cstheme="majorBidi"/>
          <w:i/>
          <w:iCs/>
          <w:color w:val="000000" w:themeColor="text1"/>
          <w:sz w:val="24"/>
          <w:szCs w:val="24"/>
        </w:rPr>
      </w:pPr>
      <w:r w:rsidRPr="00615171">
        <w:rPr>
          <w:rFonts w:asciiTheme="majorBidi" w:hAnsiTheme="majorBidi" w:cstheme="majorBidi"/>
          <w:i/>
          <w:iCs/>
          <w:color w:val="000000" w:themeColor="text1"/>
          <w:sz w:val="24"/>
          <w:szCs w:val="24"/>
        </w:rPr>
        <w:t>Source: Off</w:t>
      </w:r>
      <w:r w:rsidR="00E215E8" w:rsidRPr="00615171">
        <w:rPr>
          <w:rFonts w:asciiTheme="majorBidi" w:hAnsiTheme="majorBidi" w:cstheme="majorBidi"/>
          <w:i/>
          <w:iCs/>
          <w:color w:val="000000" w:themeColor="text1"/>
          <w:sz w:val="24"/>
          <w:szCs w:val="24"/>
        </w:rPr>
        <w:t>ice of National Statistics (2011</w:t>
      </w:r>
      <w:r w:rsidRPr="00615171">
        <w:rPr>
          <w:rFonts w:asciiTheme="majorBidi" w:hAnsiTheme="majorBidi" w:cstheme="majorBidi"/>
          <w:i/>
          <w:iCs/>
          <w:color w:val="000000" w:themeColor="text1"/>
          <w:sz w:val="24"/>
          <w:szCs w:val="24"/>
        </w:rPr>
        <w:t>)</w:t>
      </w:r>
    </w:p>
    <w:p w14:paraId="0E6D054B" w14:textId="77777777" w:rsidR="00B759A4" w:rsidRPr="00615171" w:rsidRDefault="00B759A4" w:rsidP="00623739">
      <w:pPr>
        <w:spacing w:after="0" w:line="240" w:lineRule="auto"/>
        <w:ind w:left="1008" w:hanging="1008"/>
        <w:jc w:val="both"/>
        <w:rPr>
          <w:rFonts w:asciiTheme="majorBidi" w:hAnsiTheme="majorBidi" w:cstheme="majorBidi"/>
          <w:b/>
          <w:color w:val="000000" w:themeColor="text1"/>
          <w:sz w:val="24"/>
          <w:szCs w:val="24"/>
        </w:rPr>
      </w:pPr>
    </w:p>
    <w:p w14:paraId="0DFFE278" w14:textId="271DEEC7" w:rsidR="004A6749" w:rsidRPr="00615171" w:rsidRDefault="005D5FA7" w:rsidP="0084053D">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Graham and K</w:t>
      </w:r>
      <w:r w:rsidR="00C11439" w:rsidRPr="00615171">
        <w:rPr>
          <w:rFonts w:asciiTheme="majorBidi" w:hAnsiTheme="majorBidi" w:cstheme="majorBidi"/>
          <w:color w:val="000000" w:themeColor="text1"/>
          <w:sz w:val="24"/>
          <w:szCs w:val="24"/>
        </w:rPr>
        <w:t xml:space="preserve">elly (2004) </w:t>
      </w:r>
      <w:r w:rsidR="008A60EE" w:rsidRPr="00615171">
        <w:rPr>
          <w:rFonts w:asciiTheme="majorBidi" w:hAnsiTheme="majorBidi" w:cstheme="majorBidi"/>
          <w:color w:val="000000" w:themeColor="text1"/>
          <w:sz w:val="24"/>
          <w:szCs w:val="24"/>
        </w:rPr>
        <w:t>said</w:t>
      </w:r>
      <w:r w:rsidR="00C11439" w:rsidRPr="00615171">
        <w:rPr>
          <w:rFonts w:asciiTheme="majorBidi" w:hAnsiTheme="majorBidi" w:cstheme="majorBidi"/>
          <w:color w:val="000000" w:themeColor="text1"/>
          <w:sz w:val="24"/>
          <w:szCs w:val="24"/>
        </w:rPr>
        <w:t xml:space="preserve"> that the proportion of people reporting limiting long</w:t>
      </w:r>
      <w:r w:rsidR="004E6B0C" w:rsidRPr="00615171">
        <w:rPr>
          <w:rFonts w:asciiTheme="majorBidi" w:hAnsiTheme="majorBidi" w:cstheme="majorBidi"/>
          <w:color w:val="000000" w:themeColor="text1"/>
          <w:sz w:val="24"/>
          <w:szCs w:val="24"/>
        </w:rPr>
        <w:t>-</w:t>
      </w:r>
      <w:r w:rsidR="00C11439" w:rsidRPr="00615171">
        <w:rPr>
          <w:rFonts w:asciiTheme="majorBidi" w:hAnsiTheme="majorBidi" w:cstheme="majorBidi"/>
          <w:color w:val="000000" w:themeColor="text1"/>
          <w:sz w:val="24"/>
          <w:szCs w:val="24"/>
        </w:rPr>
        <w:t xml:space="preserve">standing illness has been </w:t>
      </w:r>
      <w:r w:rsidR="00027F02" w:rsidRPr="00615171">
        <w:rPr>
          <w:rFonts w:asciiTheme="majorBidi" w:hAnsiTheme="majorBidi" w:cstheme="majorBidi"/>
          <w:color w:val="000000" w:themeColor="text1"/>
          <w:sz w:val="24"/>
          <w:szCs w:val="24"/>
        </w:rPr>
        <w:t>steadily increasing</w:t>
      </w:r>
      <w:r w:rsidR="00C11439" w:rsidRPr="00615171">
        <w:rPr>
          <w:rFonts w:asciiTheme="majorBidi" w:hAnsiTheme="majorBidi" w:cstheme="majorBidi"/>
          <w:color w:val="000000" w:themeColor="text1"/>
          <w:sz w:val="24"/>
          <w:szCs w:val="24"/>
        </w:rPr>
        <w:t xml:space="preserve"> from the top occupational group to the bottom group (Figure 6). </w:t>
      </w:r>
      <w:r w:rsidR="00027F02" w:rsidRPr="00615171">
        <w:rPr>
          <w:rFonts w:asciiTheme="majorBidi" w:hAnsiTheme="majorBidi" w:cstheme="majorBidi"/>
          <w:color w:val="000000" w:themeColor="text1"/>
          <w:sz w:val="24"/>
          <w:szCs w:val="24"/>
        </w:rPr>
        <w:t>The experience of limiting long-standing illness has been almost three times higher for people in</w:t>
      </w:r>
      <w:r w:rsidR="00C11439" w:rsidRPr="00615171">
        <w:rPr>
          <w:rFonts w:asciiTheme="majorBidi" w:hAnsiTheme="majorBidi" w:cstheme="majorBidi"/>
          <w:color w:val="000000" w:themeColor="text1"/>
          <w:sz w:val="24"/>
          <w:szCs w:val="24"/>
        </w:rPr>
        <w:t xml:space="preserve"> the unskilled manual group</w:t>
      </w:r>
      <w:r w:rsidR="00027F02" w:rsidRPr="00615171">
        <w:rPr>
          <w:rFonts w:asciiTheme="majorBidi" w:hAnsiTheme="majorBidi" w:cstheme="majorBidi"/>
          <w:color w:val="000000" w:themeColor="text1"/>
          <w:sz w:val="24"/>
          <w:szCs w:val="24"/>
        </w:rPr>
        <w:t xml:space="preserve"> compared to</w:t>
      </w:r>
      <w:r w:rsidR="00C11439" w:rsidRPr="00615171">
        <w:rPr>
          <w:rFonts w:asciiTheme="majorBidi" w:hAnsiTheme="majorBidi" w:cstheme="majorBidi"/>
          <w:color w:val="000000" w:themeColor="text1"/>
          <w:sz w:val="24"/>
          <w:szCs w:val="24"/>
        </w:rPr>
        <w:t xml:space="preserve"> those </w:t>
      </w:r>
      <w:r w:rsidR="00027F02" w:rsidRPr="00615171">
        <w:rPr>
          <w:rFonts w:asciiTheme="majorBidi" w:hAnsiTheme="majorBidi" w:cstheme="majorBidi"/>
          <w:color w:val="000000" w:themeColor="text1"/>
          <w:sz w:val="24"/>
          <w:szCs w:val="24"/>
        </w:rPr>
        <w:t>in the</w:t>
      </w:r>
      <w:r w:rsidR="00C11439" w:rsidRPr="00615171">
        <w:rPr>
          <w:rFonts w:asciiTheme="majorBidi" w:hAnsiTheme="majorBidi" w:cstheme="majorBidi"/>
          <w:color w:val="000000" w:themeColor="text1"/>
          <w:sz w:val="24"/>
          <w:szCs w:val="24"/>
        </w:rPr>
        <w:t xml:space="preserve"> professional group. </w:t>
      </w:r>
      <w:r w:rsidR="00027F02" w:rsidRPr="00615171">
        <w:rPr>
          <w:rFonts w:asciiTheme="majorBidi" w:hAnsiTheme="majorBidi" w:cstheme="majorBidi"/>
          <w:color w:val="000000" w:themeColor="text1"/>
          <w:sz w:val="24"/>
          <w:szCs w:val="24"/>
        </w:rPr>
        <w:t>T</w:t>
      </w:r>
      <w:r w:rsidR="00C11439" w:rsidRPr="00615171">
        <w:rPr>
          <w:rFonts w:asciiTheme="majorBidi" w:hAnsiTheme="majorBidi" w:cstheme="majorBidi"/>
          <w:color w:val="000000" w:themeColor="text1"/>
          <w:sz w:val="24"/>
          <w:szCs w:val="24"/>
        </w:rPr>
        <w:t>he higher percentage of women</w:t>
      </w:r>
      <w:r w:rsidR="00027F02" w:rsidRPr="00615171">
        <w:rPr>
          <w:rFonts w:asciiTheme="majorBidi" w:hAnsiTheme="majorBidi" w:cstheme="majorBidi"/>
          <w:color w:val="000000" w:themeColor="text1"/>
          <w:sz w:val="24"/>
          <w:szCs w:val="24"/>
        </w:rPr>
        <w:t xml:space="preserve"> in the</w:t>
      </w:r>
      <w:r w:rsidR="00C11439" w:rsidRPr="00615171">
        <w:rPr>
          <w:rFonts w:asciiTheme="majorBidi" w:hAnsiTheme="majorBidi" w:cstheme="majorBidi"/>
          <w:color w:val="000000" w:themeColor="text1"/>
          <w:sz w:val="24"/>
          <w:szCs w:val="24"/>
        </w:rPr>
        <w:t xml:space="preserve"> major occupational groups reporting </w:t>
      </w:r>
      <w:r w:rsidR="00027F02" w:rsidRPr="00615171">
        <w:rPr>
          <w:rFonts w:asciiTheme="majorBidi" w:hAnsiTheme="majorBidi" w:cstheme="majorBidi"/>
          <w:color w:val="000000" w:themeColor="text1"/>
          <w:sz w:val="24"/>
          <w:szCs w:val="24"/>
        </w:rPr>
        <w:t>such</w:t>
      </w:r>
      <w:r w:rsidR="00C11439" w:rsidRPr="00615171">
        <w:rPr>
          <w:rFonts w:asciiTheme="majorBidi" w:hAnsiTheme="majorBidi" w:cstheme="majorBidi"/>
          <w:color w:val="000000" w:themeColor="text1"/>
          <w:sz w:val="24"/>
          <w:szCs w:val="24"/>
        </w:rPr>
        <w:t xml:space="preserve"> illness may be due to their increased </w:t>
      </w:r>
      <w:r w:rsidR="00027F02" w:rsidRPr="00615171">
        <w:rPr>
          <w:rFonts w:asciiTheme="majorBidi" w:hAnsiTheme="majorBidi" w:cstheme="majorBidi"/>
          <w:color w:val="000000" w:themeColor="text1"/>
          <w:sz w:val="24"/>
          <w:szCs w:val="24"/>
        </w:rPr>
        <w:t>vulnerability</w:t>
      </w:r>
      <w:r w:rsidR="00C11439" w:rsidRPr="00615171">
        <w:rPr>
          <w:rFonts w:asciiTheme="majorBidi" w:hAnsiTheme="majorBidi" w:cstheme="majorBidi"/>
          <w:color w:val="000000" w:themeColor="text1"/>
          <w:sz w:val="24"/>
          <w:szCs w:val="24"/>
        </w:rPr>
        <w:t xml:space="preserve"> </w:t>
      </w:r>
      <w:r w:rsidR="008A60EE" w:rsidRPr="00615171">
        <w:rPr>
          <w:rFonts w:asciiTheme="majorBidi" w:hAnsiTheme="majorBidi" w:cstheme="majorBidi"/>
          <w:color w:val="000000" w:themeColor="text1"/>
          <w:sz w:val="24"/>
          <w:szCs w:val="24"/>
        </w:rPr>
        <w:t xml:space="preserve">to </w:t>
      </w:r>
      <w:r w:rsidR="00C11439" w:rsidRPr="00615171">
        <w:rPr>
          <w:rFonts w:asciiTheme="majorBidi" w:hAnsiTheme="majorBidi" w:cstheme="majorBidi"/>
          <w:color w:val="000000" w:themeColor="text1"/>
          <w:sz w:val="24"/>
          <w:szCs w:val="24"/>
        </w:rPr>
        <w:t>poor</w:t>
      </w:r>
      <w:r w:rsidR="008A60EE" w:rsidRPr="00615171">
        <w:rPr>
          <w:rFonts w:asciiTheme="majorBidi" w:hAnsiTheme="majorBidi" w:cstheme="majorBidi"/>
          <w:color w:val="000000" w:themeColor="text1"/>
          <w:sz w:val="24"/>
          <w:szCs w:val="24"/>
        </w:rPr>
        <w:t>er</w:t>
      </w:r>
      <w:r w:rsidR="00C11439" w:rsidRPr="00615171">
        <w:rPr>
          <w:rFonts w:asciiTheme="majorBidi" w:hAnsiTheme="majorBidi" w:cstheme="majorBidi"/>
          <w:color w:val="000000" w:themeColor="text1"/>
          <w:sz w:val="24"/>
          <w:szCs w:val="24"/>
        </w:rPr>
        <w:t xml:space="preserve"> health over the life course.</w:t>
      </w:r>
    </w:p>
    <w:p w14:paraId="27DDE7F6" w14:textId="0E19B574" w:rsidR="00E56164" w:rsidRDefault="00E56164">
      <w:pP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br w:type="page"/>
      </w:r>
    </w:p>
    <w:p w14:paraId="0B52ECE0" w14:textId="77777777" w:rsidR="0084053D" w:rsidRPr="00615171" w:rsidRDefault="0084053D" w:rsidP="00623739">
      <w:pPr>
        <w:spacing w:after="0" w:line="240" w:lineRule="auto"/>
        <w:ind w:left="1008" w:hanging="1008"/>
        <w:jc w:val="both"/>
        <w:rPr>
          <w:rFonts w:asciiTheme="majorBidi" w:hAnsiTheme="majorBidi" w:cstheme="majorBidi"/>
          <w:b/>
          <w:color w:val="000000" w:themeColor="text1"/>
          <w:sz w:val="24"/>
          <w:szCs w:val="24"/>
        </w:rPr>
      </w:pPr>
    </w:p>
    <w:p w14:paraId="114CE6FB" w14:textId="6B5335DB" w:rsidR="00575B20" w:rsidRPr="00615171" w:rsidRDefault="004A4DF0" w:rsidP="00575B20">
      <w:pPr>
        <w:spacing w:after="0" w:line="240" w:lineRule="auto"/>
        <w:ind w:left="1008" w:hanging="1008"/>
        <w:jc w:val="center"/>
        <w:rPr>
          <w:rFonts w:asciiTheme="majorBidi" w:hAnsiTheme="majorBidi" w:cstheme="majorBidi"/>
          <w:color w:val="000000" w:themeColor="text1"/>
          <w:sz w:val="24"/>
          <w:szCs w:val="24"/>
        </w:rPr>
      </w:pPr>
      <w:r w:rsidRPr="00615171">
        <w:rPr>
          <w:rFonts w:asciiTheme="majorBidi" w:hAnsiTheme="majorBidi" w:cstheme="majorBidi"/>
          <w:b/>
          <w:color w:val="000000" w:themeColor="text1"/>
          <w:sz w:val="24"/>
          <w:szCs w:val="24"/>
        </w:rPr>
        <w:t xml:space="preserve">Figure </w:t>
      </w:r>
      <w:r w:rsidR="009C6CFB" w:rsidRPr="00615171">
        <w:rPr>
          <w:rFonts w:asciiTheme="majorBidi" w:hAnsiTheme="majorBidi" w:cstheme="majorBidi"/>
          <w:b/>
          <w:color w:val="000000" w:themeColor="text1"/>
          <w:sz w:val="24"/>
          <w:szCs w:val="24"/>
        </w:rPr>
        <w:t>6</w:t>
      </w:r>
      <w:r w:rsidRPr="00615171">
        <w:rPr>
          <w:rFonts w:asciiTheme="majorBidi" w:hAnsiTheme="majorBidi" w:cstheme="majorBidi"/>
          <w:color w:val="000000" w:themeColor="text1"/>
          <w:sz w:val="24"/>
          <w:szCs w:val="24"/>
        </w:rPr>
        <w:t xml:space="preserve">: Percentage </w:t>
      </w:r>
      <w:r w:rsidR="004579A1" w:rsidRPr="00615171">
        <w:rPr>
          <w:rFonts w:asciiTheme="majorBidi" w:hAnsiTheme="majorBidi" w:cstheme="majorBidi"/>
          <w:color w:val="000000" w:themeColor="text1"/>
          <w:sz w:val="24"/>
          <w:szCs w:val="24"/>
        </w:rPr>
        <w:t xml:space="preserve">of </w:t>
      </w:r>
      <w:r w:rsidRPr="00615171">
        <w:rPr>
          <w:rFonts w:asciiTheme="majorBidi" w:hAnsiTheme="majorBidi" w:cstheme="majorBidi"/>
          <w:color w:val="000000" w:themeColor="text1"/>
          <w:sz w:val="24"/>
          <w:szCs w:val="24"/>
        </w:rPr>
        <w:t>people reporting limiting long</w:t>
      </w:r>
      <w:r w:rsidR="004E6B0C"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standing illness by occupational class</w:t>
      </w:r>
    </w:p>
    <w:p w14:paraId="2C9FCF84" w14:textId="7245FAA2" w:rsidR="00BC056F" w:rsidRPr="00615171" w:rsidRDefault="004A4DF0" w:rsidP="00575B20">
      <w:pPr>
        <w:spacing w:after="0" w:line="240" w:lineRule="auto"/>
        <w:ind w:left="1008" w:hanging="1008"/>
        <w:jc w:val="center"/>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(Based on occupation of household reference person)</w:t>
      </w:r>
      <w:r w:rsidR="00575B20" w:rsidRPr="00615171">
        <w:rPr>
          <w:rFonts w:asciiTheme="majorBidi" w:hAnsiTheme="majorBidi" w:cstheme="majorBidi"/>
          <w:color w:val="000000" w:themeColor="text1"/>
          <w:sz w:val="24"/>
          <w:szCs w:val="24"/>
        </w:rPr>
        <w:t>.</w:t>
      </w:r>
    </w:p>
    <w:p w14:paraId="09E8BE18" w14:textId="77777777" w:rsidR="004E6B0C" w:rsidRPr="00615171" w:rsidRDefault="004E6B0C" w:rsidP="00623739">
      <w:pPr>
        <w:spacing w:after="0" w:line="240" w:lineRule="auto"/>
        <w:ind w:left="1008" w:hanging="1008"/>
        <w:jc w:val="both"/>
        <w:rPr>
          <w:rFonts w:asciiTheme="majorBidi" w:hAnsiTheme="majorBidi" w:cstheme="majorBidi"/>
          <w:color w:val="000000" w:themeColor="text1"/>
          <w:sz w:val="24"/>
          <w:szCs w:val="24"/>
        </w:rPr>
      </w:pPr>
    </w:p>
    <w:p w14:paraId="40D1489B" w14:textId="77777777" w:rsidR="0065378E" w:rsidRPr="00615171" w:rsidRDefault="004A4DF0" w:rsidP="008F154E">
      <w:pPr>
        <w:spacing w:after="0" w:line="240" w:lineRule="auto"/>
        <w:jc w:val="center"/>
        <w:rPr>
          <w:rFonts w:asciiTheme="majorBidi" w:hAnsiTheme="majorBidi" w:cstheme="majorBidi"/>
          <w:color w:val="000000" w:themeColor="text1"/>
          <w:sz w:val="24"/>
          <w:szCs w:val="24"/>
        </w:rPr>
      </w:pPr>
      <w:r w:rsidRPr="00615171">
        <w:rPr>
          <w:rFonts w:asciiTheme="majorBidi" w:hAnsiTheme="majorBidi" w:cstheme="majorBidi"/>
          <w:noProof/>
          <w:color w:val="000000" w:themeColor="text1"/>
          <w:sz w:val="24"/>
          <w:szCs w:val="24"/>
          <w:lang w:val="en-GB" w:eastAsia="zh-CN"/>
        </w:rPr>
        <w:drawing>
          <wp:inline distT="0" distB="0" distL="0" distR="0" wp14:anchorId="3CA83950" wp14:editId="13948F40">
            <wp:extent cx="5295900" cy="2409825"/>
            <wp:effectExtent l="19050" t="19050" r="19050" b="2857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309013" cy="2415792"/>
                    </a:xfrm>
                    <a:prstGeom prst="rect">
                      <a:avLst/>
                    </a:prstGeom>
                    <a:noFill/>
                    <a:ln w="9525">
                      <a:solidFill>
                        <a:schemeClr val="accent1"/>
                      </a:solidFill>
                      <a:miter lim="800000"/>
                      <a:headEnd/>
                      <a:tailEnd/>
                    </a:ln>
                  </pic:spPr>
                </pic:pic>
              </a:graphicData>
            </a:graphic>
          </wp:inline>
        </w:drawing>
      </w:r>
    </w:p>
    <w:p w14:paraId="6DF60E20" w14:textId="77777777" w:rsidR="00B52465" w:rsidRPr="00615171" w:rsidRDefault="00DB3543" w:rsidP="00623739">
      <w:pPr>
        <w:spacing w:after="0" w:line="240" w:lineRule="auto"/>
        <w:ind w:firstLine="720"/>
        <w:jc w:val="both"/>
        <w:rPr>
          <w:rFonts w:asciiTheme="majorBidi" w:hAnsiTheme="majorBidi" w:cstheme="majorBidi"/>
          <w:i/>
          <w:iCs/>
          <w:color w:val="000000" w:themeColor="text1"/>
          <w:sz w:val="24"/>
          <w:szCs w:val="24"/>
        </w:rPr>
      </w:pPr>
      <w:r w:rsidRPr="00615171">
        <w:rPr>
          <w:rFonts w:asciiTheme="majorBidi" w:hAnsiTheme="majorBidi" w:cstheme="majorBidi"/>
          <w:i/>
          <w:iCs/>
          <w:color w:val="000000" w:themeColor="text1"/>
          <w:sz w:val="24"/>
          <w:szCs w:val="24"/>
        </w:rPr>
        <w:t xml:space="preserve">Source: Graham and Kelly </w:t>
      </w:r>
      <w:r w:rsidR="004A4DF0" w:rsidRPr="00615171">
        <w:rPr>
          <w:rFonts w:asciiTheme="majorBidi" w:hAnsiTheme="majorBidi" w:cstheme="majorBidi"/>
          <w:i/>
          <w:iCs/>
          <w:color w:val="000000" w:themeColor="text1"/>
          <w:sz w:val="24"/>
          <w:szCs w:val="24"/>
        </w:rPr>
        <w:t>(2004)</w:t>
      </w:r>
    </w:p>
    <w:p w14:paraId="1388CCA0" w14:textId="77777777" w:rsidR="00C11439" w:rsidRPr="00615171" w:rsidRDefault="00C11439" w:rsidP="00623739">
      <w:pPr>
        <w:spacing w:after="0" w:line="240" w:lineRule="auto"/>
        <w:jc w:val="both"/>
        <w:rPr>
          <w:rFonts w:asciiTheme="majorBidi" w:hAnsiTheme="majorBidi" w:cstheme="majorBidi"/>
          <w:color w:val="000000" w:themeColor="text1"/>
          <w:sz w:val="24"/>
          <w:szCs w:val="24"/>
        </w:rPr>
      </w:pPr>
    </w:p>
    <w:p w14:paraId="021ED84A" w14:textId="0B830CD7" w:rsidR="009C6CFB" w:rsidRPr="00615171" w:rsidRDefault="00800A91" w:rsidP="0062373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C</w:t>
      </w:r>
      <w:r w:rsidR="00CE48C1" w:rsidRPr="00615171">
        <w:rPr>
          <w:rFonts w:asciiTheme="majorBidi" w:hAnsiTheme="majorBidi" w:cstheme="majorBidi"/>
          <w:color w:val="000000" w:themeColor="text1"/>
          <w:sz w:val="24"/>
          <w:szCs w:val="24"/>
        </w:rPr>
        <w:t xml:space="preserve">omprehensive </w:t>
      </w:r>
      <w:r w:rsidR="00137BE0" w:rsidRPr="00615171">
        <w:rPr>
          <w:rFonts w:asciiTheme="majorBidi" w:hAnsiTheme="majorBidi" w:cstheme="majorBidi"/>
          <w:color w:val="000000" w:themeColor="text1"/>
          <w:sz w:val="24"/>
          <w:szCs w:val="24"/>
        </w:rPr>
        <w:t xml:space="preserve">policies </w:t>
      </w:r>
      <w:r w:rsidRPr="00615171">
        <w:rPr>
          <w:rFonts w:asciiTheme="majorBidi" w:hAnsiTheme="majorBidi" w:cstheme="majorBidi"/>
          <w:color w:val="000000" w:themeColor="text1"/>
          <w:sz w:val="24"/>
          <w:szCs w:val="24"/>
        </w:rPr>
        <w:t>are</w:t>
      </w:r>
      <w:r w:rsidR="00137BE0" w:rsidRPr="00615171">
        <w:rPr>
          <w:rFonts w:asciiTheme="majorBidi" w:hAnsiTheme="majorBidi" w:cstheme="majorBidi"/>
          <w:color w:val="000000" w:themeColor="text1"/>
          <w:sz w:val="24"/>
          <w:szCs w:val="24"/>
        </w:rPr>
        <w:t xml:space="preserve"> essential </w:t>
      </w:r>
      <w:r w:rsidRPr="00615171">
        <w:rPr>
          <w:rFonts w:asciiTheme="majorBidi" w:hAnsiTheme="majorBidi" w:cstheme="majorBidi"/>
          <w:color w:val="000000" w:themeColor="text1"/>
          <w:sz w:val="24"/>
          <w:szCs w:val="24"/>
        </w:rPr>
        <w:t>in order to</w:t>
      </w:r>
      <w:r w:rsidR="00137BE0" w:rsidRPr="00615171">
        <w:rPr>
          <w:rFonts w:asciiTheme="majorBidi" w:hAnsiTheme="majorBidi" w:cstheme="majorBidi"/>
          <w:color w:val="000000" w:themeColor="text1"/>
          <w:sz w:val="24"/>
          <w:szCs w:val="24"/>
        </w:rPr>
        <w:t xml:space="preserve"> reduce health inequalitie</w:t>
      </w:r>
      <w:r w:rsidR="00D0664B" w:rsidRPr="00615171">
        <w:rPr>
          <w:rFonts w:asciiTheme="majorBidi" w:hAnsiTheme="majorBidi" w:cstheme="majorBidi"/>
          <w:color w:val="000000" w:themeColor="text1"/>
          <w:sz w:val="24"/>
          <w:szCs w:val="24"/>
        </w:rPr>
        <w:t>s</w:t>
      </w:r>
      <w:r w:rsidRPr="00615171">
        <w:rPr>
          <w:rFonts w:asciiTheme="majorBidi" w:hAnsiTheme="majorBidi" w:cstheme="majorBidi"/>
          <w:color w:val="000000" w:themeColor="text1"/>
          <w:sz w:val="24"/>
          <w:szCs w:val="24"/>
        </w:rPr>
        <w:t xml:space="preserve"> caused</w:t>
      </w:r>
      <w:r w:rsidR="00D0664B" w:rsidRPr="00615171">
        <w:rPr>
          <w:rFonts w:asciiTheme="majorBidi" w:hAnsiTheme="majorBidi" w:cstheme="majorBidi"/>
          <w:color w:val="000000" w:themeColor="text1"/>
          <w:sz w:val="24"/>
          <w:szCs w:val="24"/>
        </w:rPr>
        <w:t xml:space="preserve"> by occupational class</w:t>
      </w:r>
      <w:r w:rsidRPr="00615171">
        <w:rPr>
          <w:rFonts w:asciiTheme="majorBidi" w:hAnsiTheme="majorBidi" w:cstheme="majorBidi"/>
          <w:color w:val="000000" w:themeColor="text1"/>
          <w:sz w:val="24"/>
          <w:szCs w:val="24"/>
        </w:rPr>
        <w:t>.</w:t>
      </w:r>
      <w:r w:rsidR="00D0664B"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F</w:t>
      </w:r>
      <w:r w:rsidR="00D0664B" w:rsidRPr="00615171">
        <w:rPr>
          <w:rFonts w:asciiTheme="majorBidi" w:hAnsiTheme="majorBidi" w:cstheme="majorBidi"/>
          <w:color w:val="000000" w:themeColor="text1"/>
          <w:sz w:val="24"/>
          <w:szCs w:val="24"/>
        </w:rPr>
        <w:t xml:space="preserve">or example, ensuring </w:t>
      </w:r>
      <w:r w:rsidR="00945F77" w:rsidRPr="00615171">
        <w:rPr>
          <w:rFonts w:asciiTheme="majorBidi" w:hAnsiTheme="majorBidi" w:cstheme="majorBidi"/>
          <w:color w:val="000000" w:themeColor="text1"/>
          <w:sz w:val="24"/>
          <w:szCs w:val="24"/>
        </w:rPr>
        <w:t>a good workplace environment for all c</w:t>
      </w:r>
      <w:r w:rsidRPr="00615171">
        <w:rPr>
          <w:rFonts w:asciiTheme="majorBidi" w:hAnsiTheme="majorBidi" w:cstheme="majorBidi"/>
          <w:color w:val="000000" w:themeColor="text1"/>
          <w:sz w:val="24"/>
          <w:szCs w:val="24"/>
        </w:rPr>
        <w:t>ould</w:t>
      </w:r>
      <w:r w:rsidR="00945F77"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help</w:t>
      </w:r>
      <w:r w:rsidR="005D2CE2" w:rsidRPr="00615171">
        <w:rPr>
          <w:rFonts w:asciiTheme="majorBidi" w:hAnsiTheme="majorBidi" w:cstheme="majorBidi"/>
          <w:color w:val="000000" w:themeColor="text1"/>
          <w:sz w:val="24"/>
          <w:szCs w:val="24"/>
        </w:rPr>
        <w:t xml:space="preserve"> to</w:t>
      </w:r>
      <w:r w:rsidRPr="00615171">
        <w:rPr>
          <w:rFonts w:asciiTheme="majorBidi" w:hAnsiTheme="majorBidi" w:cstheme="majorBidi"/>
          <w:color w:val="000000" w:themeColor="text1"/>
          <w:sz w:val="24"/>
          <w:szCs w:val="24"/>
        </w:rPr>
        <w:t xml:space="preserve"> </w:t>
      </w:r>
      <w:r w:rsidR="00945F77" w:rsidRPr="00615171">
        <w:rPr>
          <w:rFonts w:asciiTheme="majorBidi" w:hAnsiTheme="majorBidi" w:cstheme="majorBidi"/>
          <w:color w:val="000000" w:themeColor="text1"/>
          <w:sz w:val="24"/>
          <w:szCs w:val="24"/>
        </w:rPr>
        <w:t>reduce physical hazard</w:t>
      </w:r>
      <w:r w:rsidRPr="00615171">
        <w:rPr>
          <w:rFonts w:asciiTheme="majorBidi" w:hAnsiTheme="majorBidi" w:cstheme="majorBidi"/>
          <w:color w:val="000000" w:themeColor="text1"/>
          <w:sz w:val="24"/>
          <w:szCs w:val="24"/>
        </w:rPr>
        <w:t>s;</w:t>
      </w:r>
      <w:r w:rsidR="00945F77" w:rsidRPr="00615171">
        <w:rPr>
          <w:rFonts w:asciiTheme="majorBidi" w:hAnsiTheme="majorBidi" w:cstheme="majorBidi"/>
          <w:color w:val="000000" w:themeColor="text1"/>
          <w:sz w:val="24"/>
          <w:szCs w:val="24"/>
        </w:rPr>
        <w:t xml:space="preserve"> </w:t>
      </w:r>
      <w:r w:rsidR="00137BE0" w:rsidRPr="00615171">
        <w:rPr>
          <w:rFonts w:asciiTheme="majorBidi" w:hAnsiTheme="majorBidi" w:cstheme="majorBidi"/>
          <w:color w:val="000000" w:themeColor="text1"/>
          <w:sz w:val="24"/>
          <w:szCs w:val="24"/>
        </w:rPr>
        <w:t xml:space="preserve">flexible </w:t>
      </w:r>
      <w:r w:rsidR="00D0664B" w:rsidRPr="00615171">
        <w:rPr>
          <w:rFonts w:asciiTheme="majorBidi" w:hAnsiTheme="majorBidi" w:cstheme="majorBidi"/>
          <w:color w:val="000000" w:themeColor="text1"/>
          <w:sz w:val="24"/>
          <w:szCs w:val="24"/>
        </w:rPr>
        <w:t>employment rules</w:t>
      </w:r>
      <w:r w:rsidR="00C11439" w:rsidRPr="00615171">
        <w:rPr>
          <w:rFonts w:asciiTheme="majorBidi" w:hAnsiTheme="majorBidi" w:cstheme="majorBidi"/>
          <w:color w:val="000000" w:themeColor="text1"/>
          <w:sz w:val="24"/>
          <w:szCs w:val="24"/>
        </w:rPr>
        <w:t xml:space="preserve"> c</w:t>
      </w:r>
      <w:r w:rsidRPr="00615171">
        <w:rPr>
          <w:rFonts w:asciiTheme="majorBidi" w:hAnsiTheme="majorBidi" w:cstheme="majorBidi"/>
          <w:color w:val="000000" w:themeColor="text1"/>
          <w:sz w:val="24"/>
          <w:szCs w:val="24"/>
        </w:rPr>
        <w:t>ould</w:t>
      </w:r>
      <w:r w:rsidR="00CD40FB" w:rsidRPr="00615171">
        <w:rPr>
          <w:rFonts w:asciiTheme="majorBidi" w:hAnsiTheme="majorBidi" w:cstheme="majorBidi"/>
          <w:color w:val="000000" w:themeColor="text1"/>
          <w:sz w:val="24"/>
          <w:szCs w:val="24"/>
        </w:rPr>
        <w:t xml:space="preserve"> reduce </w:t>
      </w:r>
      <w:r w:rsidR="00945F77" w:rsidRPr="00615171">
        <w:rPr>
          <w:rFonts w:asciiTheme="majorBidi" w:hAnsiTheme="majorBidi" w:cstheme="majorBidi"/>
          <w:color w:val="000000" w:themeColor="text1"/>
          <w:sz w:val="24"/>
          <w:szCs w:val="24"/>
        </w:rPr>
        <w:t>mental stress</w:t>
      </w:r>
      <w:r w:rsidRPr="00615171">
        <w:rPr>
          <w:rFonts w:asciiTheme="majorBidi" w:hAnsiTheme="majorBidi" w:cstheme="majorBidi"/>
          <w:color w:val="000000" w:themeColor="text1"/>
          <w:sz w:val="24"/>
          <w:szCs w:val="24"/>
        </w:rPr>
        <w:t>;</w:t>
      </w:r>
      <w:r w:rsidR="00D0664B" w:rsidRPr="00615171">
        <w:rPr>
          <w:rFonts w:asciiTheme="majorBidi" w:hAnsiTheme="majorBidi" w:cstheme="majorBidi"/>
          <w:color w:val="000000" w:themeColor="text1"/>
          <w:sz w:val="24"/>
          <w:szCs w:val="24"/>
        </w:rPr>
        <w:t xml:space="preserve"> proper training </w:t>
      </w:r>
      <w:r w:rsidRPr="00615171">
        <w:rPr>
          <w:rFonts w:asciiTheme="majorBidi" w:hAnsiTheme="majorBidi" w:cstheme="majorBidi"/>
          <w:color w:val="000000" w:themeColor="text1"/>
          <w:sz w:val="24"/>
          <w:szCs w:val="24"/>
        </w:rPr>
        <w:t>could</w:t>
      </w:r>
      <w:r w:rsidR="00945F77" w:rsidRPr="00615171">
        <w:rPr>
          <w:rFonts w:asciiTheme="majorBidi" w:hAnsiTheme="majorBidi" w:cstheme="majorBidi"/>
          <w:color w:val="000000" w:themeColor="text1"/>
          <w:sz w:val="24"/>
          <w:szCs w:val="24"/>
        </w:rPr>
        <w:t xml:space="preserve"> improve </w:t>
      </w:r>
      <w:r w:rsidRPr="00615171">
        <w:rPr>
          <w:rFonts w:asciiTheme="majorBidi" w:hAnsiTheme="majorBidi" w:cstheme="majorBidi"/>
          <w:color w:val="000000" w:themeColor="text1"/>
          <w:sz w:val="24"/>
          <w:szCs w:val="24"/>
        </w:rPr>
        <w:t xml:space="preserve">the </w:t>
      </w:r>
      <w:r w:rsidR="00945F77" w:rsidRPr="00615171">
        <w:rPr>
          <w:rFonts w:asciiTheme="majorBidi" w:hAnsiTheme="majorBidi" w:cstheme="majorBidi"/>
          <w:color w:val="000000" w:themeColor="text1"/>
          <w:sz w:val="24"/>
          <w:szCs w:val="24"/>
        </w:rPr>
        <w:t>sense of control</w:t>
      </w:r>
      <w:r w:rsidRPr="00615171">
        <w:rPr>
          <w:rFonts w:asciiTheme="majorBidi" w:hAnsiTheme="majorBidi" w:cstheme="majorBidi"/>
          <w:color w:val="000000" w:themeColor="text1"/>
          <w:sz w:val="24"/>
          <w:szCs w:val="24"/>
        </w:rPr>
        <w:t>;</w:t>
      </w:r>
      <w:r w:rsidR="00D0664B" w:rsidRPr="00615171">
        <w:rPr>
          <w:rFonts w:asciiTheme="majorBidi" w:hAnsiTheme="majorBidi" w:cstheme="majorBidi"/>
          <w:color w:val="000000" w:themeColor="text1"/>
          <w:sz w:val="24"/>
          <w:szCs w:val="24"/>
        </w:rPr>
        <w:t xml:space="preserve"> better quality of work and primary health care services</w:t>
      </w:r>
      <w:r w:rsidRPr="00615171">
        <w:rPr>
          <w:rFonts w:asciiTheme="majorBidi" w:hAnsiTheme="majorBidi" w:cstheme="majorBidi"/>
          <w:color w:val="000000" w:themeColor="text1"/>
          <w:sz w:val="24"/>
          <w:szCs w:val="24"/>
        </w:rPr>
        <w:t xml:space="preserve"> available</w:t>
      </w:r>
      <w:r w:rsidR="00D0664B"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in the</w:t>
      </w:r>
      <w:r w:rsidR="00D0664B" w:rsidRPr="00615171">
        <w:rPr>
          <w:rFonts w:asciiTheme="majorBidi" w:hAnsiTheme="majorBidi" w:cstheme="majorBidi"/>
          <w:color w:val="000000" w:themeColor="text1"/>
          <w:sz w:val="24"/>
          <w:szCs w:val="24"/>
        </w:rPr>
        <w:t xml:space="preserve"> workplace</w:t>
      </w:r>
      <w:r w:rsidR="00945F77"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could</w:t>
      </w:r>
      <w:r w:rsidR="00945F77" w:rsidRPr="00615171">
        <w:rPr>
          <w:rFonts w:asciiTheme="majorBidi" w:hAnsiTheme="majorBidi" w:cstheme="majorBidi"/>
          <w:color w:val="000000" w:themeColor="text1"/>
          <w:sz w:val="24"/>
          <w:szCs w:val="24"/>
        </w:rPr>
        <w:t xml:space="preserve"> improve the overall health status of all employee</w:t>
      </w:r>
      <w:r w:rsidR="00CD40FB" w:rsidRPr="00615171">
        <w:rPr>
          <w:rFonts w:asciiTheme="majorBidi" w:hAnsiTheme="majorBidi" w:cstheme="majorBidi"/>
          <w:color w:val="000000" w:themeColor="text1"/>
          <w:sz w:val="24"/>
          <w:szCs w:val="24"/>
        </w:rPr>
        <w:t>s</w:t>
      </w:r>
      <w:r w:rsidR="00945F77" w:rsidRPr="00615171">
        <w:rPr>
          <w:rFonts w:asciiTheme="majorBidi" w:hAnsiTheme="majorBidi" w:cstheme="majorBidi"/>
          <w:color w:val="000000" w:themeColor="text1"/>
          <w:sz w:val="24"/>
          <w:szCs w:val="24"/>
        </w:rPr>
        <w:t>.</w:t>
      </w:r>
      <w:r w:rsidR="00D0664B" w:rsidRPr="00615171">
        <w:rPr>
          <w:rFonts w:asciiTheme="majorBidi" w:hAnsiTheme="majorBidi" w:cstheme="majorBidi"/>
          <w:color w:val="000000" w:themeColor="text1"/>
          <w:sz w:val="24"/>
          <w:szCs w:val="24"/>
        </w:rPr>
        <w:t xml:space="preserve"> </w:t>
      </w:r>
    </w:p>
    <w:p w14:paraId="745C5144" w14:textId="77777777" w:rsidR="00CE48C1" w:rsidRPr="00615171" w:rsidRDefault="00CE48C1" w:rsidP="00623739">
      <w:pPr>
        <w:spacing w:after="0" w:line="240" w:lineRule="auto"/>
        <w:jc w:val="both"/>
        <w:rPr>
          <w:rFonts w:asciiTheme="majorBidi" w:hAnsiTheme="majorBidi" w:cstheme="majorBidi"/>
          <w:b/>
          <w:color w:val="000000" w:themeColor="text1"/>
          <w:sz w:val="24"/>
          <w:szCs w:val="24"/>
        </w:rPr>
      </w:pPr>
    </w:p>
    <w:p w14:paraId="456B380B" w14:textId="368CC2A0" w:rsidR="00720274" w:rsidRPr="00615171" w:rsidRDefault="00ED6280" w:rsidP="0062373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Deprivation</w:t>
      </w:r>
      <w:r w:rsidR="00316D47" w:rsidRPr="00615171">
        <w:rPr>
          <w:rFonts w:asciiTheme="majorBidi" w:hAnsiTheme="majorBidi" w:cstheme="majorBidi"/>
          <w:color w:val="000000" w:themeColor="text1"/>
          <w:sz w:val="24"/>
          <w:szCs w:val="24"/>
        </w:rPr>
        <w:t xml:space="preserve"> is defined as the inability to participate in </w:t>
      </w:r>
      <w:r w:rsidR="00B21DB6" w:rsidRPr="00615171">
        <w:rPr>
          <w:rFonts w:asciiTheme="majorBidi" w:hAnsiTheme="majorBidi" w:cstheme="majorBidi"/>
          <w:color w:val="000000" w:themeColor="text1"/>
          <w:sz w:val="24"/>
          <w:szCs w:val="24"/>
        </w:rPr>
        <w:t>usual</w:t>
      </w:r>
      <w:r w:rsidR="00316D47" w:rsidRPr="00615171">
        <w:rPr>
          <w:rFonts w:asciiTheme="majorBidi" w:hAnsiTheme="majorBidi" w:cstheme="majorBidi"/>
          <w:color w:val="000000" w:themeColor="text1"/>
          <w:sz w:val="24"/>
          <w:szCs w:val="24"/>
        </w:rPr>
        <w:t xml:space="preserve"> </w:t>
      </w:r>
      <w:r w:rsidR="00B21DB6" w:rsidRPr="00615171">
        <w:rPr>
          <w:rFonts w:asciiTheme="majorBidi" w:hAnsiTheme="majorBidi" w:cstheme="majorBidi"/>
          <w:color w:val="000000" w:themeColor="text1"/>
          <w:sz w:val="24"/>
          <w:szCs w:val="24"/>
        </w:rPr>
        <w:t xml:space="preserve">societal </w:t>
      </w:r>
      <w:r w:rsidR="00316D47" w:rsidRPr="00615171">
        <w:rPr>
          <w:rFonts w:asciiTheme="majorBidi" w:hAnsiTheme="majorBidi" w:cstheme="majorBidi"/>
          <w:color w:val="000000" w:themeColor="text1"/>
          <w:sz w:val="24"/>
          <w:szCs w:val="24"/>
        </w:rPr>
        <w:t>activities</w:t>
      </w:r>
      <w:r w:rsidR="00B21DB6" w:rsidRPr="00615171">
        <w:rPr>
          <w:rFonts w:asciiTheme="majorBidi" w:hAnsiTheme="majorBidi" w:cstheme="majorBidi"/>
          <w:color w:val="000000" w:themeColor="text1"/>
          <w:sz w:val="24"/>
          <w:szCs w:val="24"/>
        </w:rPr>
        <w:t xml:space="preserve"> </w:t>
      </w:r>
      <w:r w:rsidR="00316D47" w:rsidRPr="00615171">
        <w:rPr>
          <w:rFonts w:asciiTheme="majorBidi" w:hAnsiTheme="majorBidi" w:cstheme="majorBidi"/>
          <w:color w:val="000000" w:themeColor="text1"/>
          <w:sz w:val="24"/>
          <w:szCs w:val="24"/>
        </w:rPr>
        <w:t>due to lack of material resources</w:t>
      </w:r>
      <w:r w:rsidR="00637201" w:rsidRPr="00615171">
        <w:rPr>
          <w:rFonts w:asciiTheme="majorBidi" w:hAnsiTheme="majorBidi" w:cstheme="majorBidi"/>
          <w:color w:val="000000" w:themeColor="text1"/>
          <w:sz w:val="24"/>
          <w:szCs w:val="24"/>
        </w:rPr>
        <w:t xml:space="preserve"> (Townsend, 1979)</w:t>
      </w:r>
      <w:r w:rsidR="00316D47" w:rsidRPr="00615171">
        <w:rPr>
          <w:rFonts w:asciiTheme="majorBidi" w:hAnsiTheme="majorBidi" w:cstheme="majorBidi"/>
          <w:color w:val="000000" w:themeColor="text1"/>
          <w:sz w:val="24"/>
          <w:szCs w:val="24"/>
        </w:rPr>
        <w:t xml:space="preserve">. It is strongly associated with </w:t>
      </w:r>
      <w:r w:rsidR="00B21DB6" w:rsidRPr="00615171">
        <w:rPr>
          <w:rFonts w:asciiTheme="majorBidi" w:hAnsiTheme="majorBidi" w:cstheme="majorBidi"/>
          <w:color w:val="000000" w:themeColor="text1"/>
          <w:sz w:val="24"/>
          <w:szCs w:val="24"/>
        </w:rPr>
        <w:t xml:space="preserve">a </w:t>
      </w:r>
      <w:r w:rsidR="00316D47" w:rsidRPr="00615171">
        <w:rPr>
          <w:rFonts w:asciiTheme="majorBidi" w:hAnsiTheme="majorBidi" w:cstheme="majorBidi"/>
          <w:color w:val="000000" w:themeColor="text1"/>
          <w:sz w:val="24"/>
          <w:szCs w:val="24"/>
        </w:rPr>
        <w:t>person’s education</w:t>
      </w:r>
      <w:r w:rsidR="00FF7657" w:rsidRPr="00615171">
        <w:rPr>
          <w:rFonts w:asciiTheme="majorBidi" w:hAnsiTheme="majorBidi" w:cstheme="majorBidi"/>
          <w:color w:val="000000" w:themeColor="text1"/>
          <w:sz w:val="24"/>
          <w:szCs w:val="24"/>
        </w:rPr>
        <w:t>al</w:t>
      </w:r>
      <w:r w:rsidR="00316D47" w:rsidRPr="00615171">
        <w:rPr>
          <w:rFonts w:asciiTheme="majorBidi" w:hAnsiTheme="majorBidi" w:cstheme="majorBidi"/>
          <w:color w:val="000000" w:themeColor="text1"/>
          <w:sz w:val="24"/>
          <w:szCs w:val="24"/>
        </w:rPr>
        <w:t xml:space="preserve"> level</w:t>
      </w:r>
      <w:r w:rsidR="00FF7657" w:rsidRPr="00615171">
        <w:rPr>
          <w:rFonts w:asciiTheme="majorBidi" w:hAnsiTheme="majorBidi" w:cstheme="majorBidi"/>
          <w:color w:val="000000" w:themeColor="text1"/>
          <w:sz w:val="24"/>
          <w:szCs w:val="24"/>
        </w:rPr>
        <w:t xml:space="preserve"> along with</w:t>
      </w:r>
      <w:r w:rsidR="00316D47" w:rsidRPr="00615171">
        <w:rPr>
          <w:rFonts w:asciiTheme="majorBidi" w:hAnsiTheme="majorBidi" w:cstheme="majorBidi"/>
          <w:color w:val="000000" w:themeColor="text1"/>
          <w:sz w:val="24"/>
          <w:szCs w:val="24"/>
        </w:rPr>
        <w:t xml:space="preserve"> income </w:t>
      </w:r>
      <w:r w:rsidR="00B21DB6" w:rsidRPr="00615171">
        <w:rPr>
          <w:rFonts w:asciiTheme="majorBidi" w:hAnsiTheme="majorBidi" w:cstheme="majorBidi"/>
          <w:color w:val="000000" w:themeColor="text1"/>
          <w:sz w:val="24"/>
          <w:szCs w:val="24"/>
        </w:rPr>
        <w:t>and</w:t>
      </w:r>
      <w:r w:rsidR="00316D47" w:rsidRPr="00615171">
        <w:rPr>
          <w:rFonts w:asciiTheme="majorBidi" w:hAnsiTheme="majorBidi" w:cstheme="majorBidi"/>
          <w:color w:val="000000" w:themeColor="text1"/>
          <w:sz w:val="24"/>
          <w:szCs w:val="24"/>
        </w:rPr>
        <w:t xml:space="preserve"> occupational class</w:t>
      </w:r>
      <w:r w:rsidR="00FF7657" w:rsidRPr="00615171">
        <w:rPr>
          <w:rFonts w:asciiTheme="majorBidi" w:hAnsiTheme="majorBidi" w:cstheme="majorBidi"/>
          <w:color w:val="000000" w:themeColor="text1"/>
          <w:sz w:val="24"/>
          <w:szCs w:val="24"/>
        </w:rPr>
        <w:t xml:space="preserve"> and even more so</w:t>
      </w:r>
      <w:r w:rsidR="00DB3543" w:rsidRPr="00615171">
        <w:rPr>
          <w:rFonts w:asciiTheme="majorBidi" w:hAnsiTheme="majorBidi" w:cstheme="majorBidi"/>
          <w:color w:val="000000" w:themeColor="text1"/>
          <w:sz w:val="24"/>
          <w:szCs w:val="24"/>
        </w:rPr>
        <w:t xml:space="preserve"> </w:t>
      </w:r>
      <w:r w:rsidR="00FF7657" w:rsidRPr="00615171">
        <w:rPr>
          <w:rFonts w:asciiTheme="majorBidi" w:hAnsiTheme="majorBidi" w:cstheme="majorBidi"/>
          <w:color w:val="000000" w:themeColor="text1"/>
          <w:sz w:val="24"/>
          <w:szCs w:val="24"/>
        </w:rPr>
        <w:t>when the lower levels of these three indicators are combined</w:t>
      </w:r>
      <w:r w:rsidR="00F61BD1" w:rsidRPr="00615171">
        <w:rPr>
          <w:rFonts w:asciiTheme="majorBidi" w:hAnsiTheme="majorBidi" w:cstheme="majorBidi"/>
          <w:color w:val="000000" w:themeColor="text1"/>
          <w:sz w:val="24"/>
          <w:szCs w:val="24"/>
        </w:rPr>
        <w:t>. Identifying depri</w:t>
      </w:r>
      <w:r w:rsidR="003C76C0" w:rsidRPr="00615171">
        <w:rPr>
          <w:rFonts w:asciiTheme="majorBidi" w:hAnsiTheme="majorBidi" w:cstheme="majorBidi"/>
          <w:color w:val="000000" w:themeColor="text1"/>
          <w:sz w:val="24"/>
          <w:szCs w:val="24"/>
        </w:rPr>
        <w:t>vation is one</w:t>
      </w:r>
      <w:r w:rsidR="00FF7657" w:rsidRPr="00615171">
        <w:rPr>
          <w:rFonts w:asciiTheme="majorBidi" w:hAnsiTheme="majorBidi" w:cstheme="majorBidi"/>
          <w:color w:val="000000" w:themeColor="text1"/>
          <w:sz w:val="24"/>
          <w:szCs w:val="24"/>
        </w:rPr>
        <w:t xml:space="preserve"> of</w:t>
      </w:r>
      <w:r w:rsidR="003C76C0" w:rsidRPr="00615171">
        <w:rPr>
          <w:rFonts w:asciiTheme="majorBidi" w:hAnsiTheme="majorBidi" w:cstheme="majorBidi"/>
          <w:color w:val="000000" w:themeColor="text1"/>
          <w:sz w:val="24"/>
          <w:szCs w:val="24"/>
        </w:rPr>
        <w:t xml:space="preserve"> the </w:t>
      </w:r>
      <w:r w:rsidR="00FF7657" w:rsidRPr="00615171">
        <w:rPr>
          <w:rFonts w:asciiTheme="majorBidi" w:hAnsiTheme="majorBidi" w:cstheme="majorBidi"/>
          <w:color w:val="000000" w:themeColor="text1"/>
          <w:sz w:val="24"/>
          <w:szCs w:val="24"/>
        </w:rPr>
        <w:t>aims</w:t>
      </w:r>
      <w:r w:rsidR="003C76C0" w:rsidRPr="00615171">
        <w:rPr>
          <w:rFonts w:asciiTheme="majorBidi" w:hAnsiTheme="majorBidi" w:cstheme="majorBidi"/>
          <w:color w:val="000000" w:themeColor="text1"/>
          <w:sz w:val="24"/>
          <w:szCs w:val="24"/>
        </w:rPr>
        <w:t xml:space="preserve"> of</w:t>
      </w:r>
      <w:r w:rsidR="00F61BD1" w:rsidRPr="00615171">
        <w:rPr>
          <w:rFonts w:asciiTheme="majorBidi" w:hAnsiTheme="majorBidi" w:cstheme="majorBidi"/>
          <w:color w:val="000000" w:themeColor="text1"/>
          <w:sz w:val="24"/>
          <w:szCs w:val="24"/>
        </w:rPr>
        <w:t xml:space="preserve"> socio-economic classification</w:t>
      </w:r>
      <w:r w:rsidR="003C76C0" w:rsidRPr="00615171">
        <w:rPr>
          <w:rFonts w:asciiTheme="majorBidi" w:hAnsiTheme="majorBidi" w:cstheme="majorBidi"/>
          <w:color w:val="000000" w:themeColor="text1"/>
          <w:sz w:val="24"/>
          <w:szCs w:val="24"/>
        </w:rPr>
        <w:t>s</w:t>
      </w:r>
      <w:r w:rsidR="00F61BD1" w:rsidRPr="00615171">
        <w:rPr>
          <w:rFonts w:asciiTheme="majorBidi" w:hAnsiTheme="majorBidi" w:cstheme="majorBidi"/>
          <w:color w:val="000000" w:themeColor="text1"/>
          <w:sz w:val="24"/>
          <w:szCs w:val="24"/>
        </w:rPr>
        <w:t xml:space="preserve">. </w:t>
      </w:r>
      <w:r w:rsidR="00FF7657" w:rsidRPr="00615171">
        <w:rPr>
          <w:rFonts w:asciiTheme="majorBidi" w:hAnsiTheme="majorBidi" w:cstheme="majorBidi"/>
          <w:color w:val="000000" w:themeColor="text1"/>
          <w:sz w:val="24"/>
          <w:szCs w:val="24"/>
        </w:rPr>
        <w:t>P</w:t>
      </w:r>
      <w:r w:rsidR="00F61BD1" w:rsidRPr="00615171">
        <w:rPr>
          <w:rFonts w:asciiTheme="majorBidi" w:hAnsiTheme="majorBidi" w:cstheme="majorBidi"/>
          <w:color w:val="000000" w:themeColor="text1"/>
          <w:sz w:val="24"/>
          <w:szCs w:val="24"/>
        </w:rPr>
        <w:t xml:space="preserve">eople </w:t>
      </w:r>
      <w:r w:rsidR="00FF7657" w:rsidRPr="00615171">
        <w:rPr>
          <w:rFonts w:asciiTheme="majorBidi" w:hAnsiTheme="majorBidi" w:cstheme="majorBidi"/>
          <w:color w:val="000000" w:themeColor="text1"/>
          <w:sz w:val="24"/>
          <w:szCs w:val="24"/>
        </w:rPr>
        <w:t xml:space="preserve">of a </w:t>
      </w:r>
      <w:r w:rsidR="00F61BD1" w:rsidRPr="00615171">
        <w:rPr>
          <w:rFonts w:asciiTheme="majorBidi" w:hAnsiTheme="majorBidi" w:cstheme="majorBidi"/>
          <w:color w:val="000000" w:themeColor="text1"/>
          <w:sz w:val="24"/>
          <w:szCs w:val="24"/>
        </w:rPr>
        <w:t>lower socio-economic status are</w:t>
      </w:r>
      <w:r w:rsidR="00FF7657" w:rsidRPr="00615171">
        <w:rPr>
          <w:rFonts w:asciiTheme="majorBidi" w:hAnsiTheme="majorBidi" w:cstheme="majorBidi"/>
          <w:color w:val="000000" w:themeColor="text1"/>
          <w:sz w:val="24"/>
          <w:szCs w:val="24"/>
        </w:rPr>
        <w:t xml:space="preserve"> generally</w:t>
      </w:r>
      <w:r w:rsidR="00F61BD1" w:rsidRPr="00615171">
        <w:rPr>
          <w:rFonts w:asciiTheme="majorBidi" w:hAnsiTheme="majorBidi" w:cstheme="majorBidi"/>
          <w:color w:val="000000" w:themeColor="text1"/>
          <w:sz w:val="24"/>
          <w:szCs w:val="24"/>
        </w:rPr>
        <w:t xml:space="preserve"> the most deprive</w:t>
      </w:r>
      <w:r w:rsidR="00FF7657" w:rsidRPr="00615171">
        <w:rPr>
          <w:rFonts w:asciiTheme="majorBidi" w:hAnsiTheme="majorBidi" w:cstheme="majorBidi"/>
          <w:color w:val="000000" w:themeColor="text1"/>
          <w:sz w:val="24"/>
          <w:szCs w:val="24"/>
        </w:rPr>
        <w:t>d</w:t>
      </w:r>
      <w:r w:rsidR="00F61BD1" w:rsidRPr="00615171">
        <w:rPr>
          <w:rFonts w:asciiTheme="majorBidi" w:hAnsiTheme="majorBidi" w:cstheme="majorBidi"/>
          <w:color w:val="000000" w:themeColor="text1"/>
          <w:sz w:val="24"/>
          <w:szCs w:val="24"/>
        </w:rPr>
        <w:t xml:space="preserve"> group and </w:t>
      </w:r>
      <w:r w:rsidR="00FF7657" w:rsidRPr="00615171">
        <w:rPr>
          <w:rFonts w:asciiTheme="majorBidi" w:hAnsiTheme="majorBidi" w:cstheme="majorBidi"/>
          <w:color w:val="000000" w:themeColor="text1"/>
          <w:sz w:val="24"/>
          <w:szCs w:val="24"/>
        </w:rPr>
        <w:t>those</w:t>
      </w:r>
      <w:r w:rsidR="00F61BD1" w:rsidRPr="00615171">
        <w:rPr>
          <w:rFonts w:asciiTheme="majorBidi" w:hAnsiTheme="majorBidi" w:cstheme="majorBidi"/>
          <w:color w:val="000000" w:themeColor="text1"/>
          <w:sz w:val="24"/>
          <w:szCs w:val="24"/>
        </w:rPr>
        <w:t xml:space="preserve"> with </w:t>
      </w:r>
      <w:r w:rsidR="00FF7657" w:rsidRPr="00615171">
        <w:rPr>
          <w:rFonts w:asciiTheme="majorBidi" w:hAnsiTheme="majorBidi" w:cstheme="majorBidi"/>
          <w:color w:val="000000" w:themeColor="text1"/>
          <w:sz w:val="24"/>
          <w:szCs w:val="24"/>
        </w:rPr>
        <w:t xml:space="preserve">a </w:t>
      </w:r>
      <w:r w:rsidR="00F61BD1" w:rsidRPr="00615171">
        <w:rPr>
          <w:rFonts w:asciiTheme="majorBidi" w:hAnsiTheme="majorBidi" w:cstheme="majorBidi"/>
          <w:color w:val="000000" w:themeColor="text1"/>
          <w:sz w:val="24"/>
          <w:szCs w:val="24"/>
        </w:rPr>
        <w:t>higher SES are</w:t>
      </w:r>
      <w:r w:rsidR="00FF7657" w:rsidRPr="00615171">
        <w:rPr>
          <w:rFonts w:asciiTheme="majorBidi" w:hAnsiTheme="majorBidi" w:cstheme="majorBidi"/>
          <w:color w:val="000000" w:themeColor="text1"/>
          <w:sz w:val="24"/>
          <w:szCs w:val="24"/>
        </w:rPr>
        <w:t xml:space="preserve"> generally</w:t>
      </w:r>
      <w:r w:rsidR="00F61BD1" w:rsidRPr="00615171">
        <w:rPr>
          <w:rFonts w:asciiTheme="majorBidi" w:hAnsiTheme="majorBidi" w:cstheme="majorBidi"/>
          <w:color w:val="000000" w:themeColor="text1"/>
          <w:sz w:val="24"/>
          <w:szCs w:val="24"/>
        </w:rPr>
        <w:t xml:space="preserve"> the less deprived group. The association between deprivation</w:t>
      </w:r>
      <w:r w:rsidR="00652785" w:rsidRPr="00615171">
        <w:rPr>
          <w:rFonts w:asciiTheme="majorBidi" w:hAnsiTheme="majorBidi" w:cstheme="majorBidi"/>
          <w:color w:val="000000" w:themeColor="text1"/>
          <w:sz w:val="24"/>
          <w:szCs w:val="24"/>
        </w:rPr>
        <w:t xml:space="preserve"> and health </w:t>
      </w:r>
      <w:r w:rsidR="00FF7657" w:rsidRPr="00615171">
        <w:rPr>
          <w:rFonts w:asciiTheme="majorBidi" w:hAnsiTheme="majorBidi" w:cstheme="majorBidi"/>
          <w:color w:val="000000" w:themeColor="text1"/>
          <w:sz w:val="24"/>
          <w:szCs w:val="24"/>
        </w:rPr>
        <w:t>for</w:t>
      </w:r>
      <w:r w:rsidR="00652785" w:rsidRPr="00615171">
        <w:rPr>
          <w:rFonts w:asciiTheme="majorBidi" w:hAnsiTheme="majorBidi" w:cstheme="majorBidi"/>
          <w:color w:val="000000" w:themeColor="text1"/>
          <w:sz w:val="24"/>
          <w:szCs w:val="24"/>
        </w:rPr>
        <w:t xml:space="preserve"> older people depend</w:t>
      </w:r>
      <w:r w:rsidR="00FF7657" w:rsidRPr="00615171">
        <w:rPr>
          <w:rFonts w:asciiTheme="majorBidi" w:hAnsiTheme="majorBidi" w:cstheme="majorBidi"/>
          <w:color w:val="000000" w:themeColor="text1"/>
          <w:sz w:val="24"/>
          <w:szCs w:val="24"/>
        </w:rPr>
        <w:t>s</w:t>
      </w:r>
      <w:r w:rsidR="00652785" w:rsidRPr="00615171">
        <w:rPr>
          <w:rFonts w:asciiTheme="majorBidi" w:hAnsiTheme="majorBidi" w:cstheme="majorBidi"/>
          <w:color w:val="000000" w:themeColor="text1"/>
          <w:sz w:val="24"/>
          <w:szCs w:val="24"/>
        </w:rPr>
        <w:t xml:space="preserve"> on psychological factors such</w:t>
      </w:r>
      <w:r w:rsidR="00FF7657" w:rsidRPr="00615171">
        <w:rPr>
          <w:rFonts w:asciiTheme="majorBidi" w:hAnsiTheme="majorBidi" w:cstheme="majorBidi"/>
          <w:color w:val="000000" w:themeColor="text1"/>
          <w:sz w:val="24"/>
          <w:szCs w:val="24"/>
        </w:rPr>
        <w:t xml:space="preserve"> as</w:t>
      </w:r>
      <w:r w:rsidR="00652785" w:rsidRPr="00615171">
        <w:rPr>
          <w:rFonts w:asciiTheme="majorBidi" w:hAnsiTheme="majorBidi" w:cstheme="majorBidi"/>
          <w:color w:val="000000" w:themeColor="text1"/>
          <w:sz w:val="24"/>
          <w:szCs w:val="24"/>
        </w:rPr>
        <w:t xml:space="preserve"> empowerment</w:t>
      </w:r>
      <w:r w:rsidR="00FF7657" w:rsidRPr="00615171">
        <w:rPr>
          <w:rFonts w:asciiTheme="majorBidi" w:hAnsiTheme="majorBidi" w:cstheme="majorBidi"/>
          <w:color w:val="000000" w:themeColor="text1"/>
          <w:sz w:val="24"/>
          <w:szCs w:val="24"/>
        </w:rPr>
        <w:t xml:space="preserve"> plus</w:t>
      </w:r>
      <w:r w:rsidR="00652785" w:rsidRPr="00615171">
        <w:rPr>
          <w:rFonts w:asciiTheme="majorBidi" w:hAnsiTheme="majorBidi" w:cstheme="majorBidi"/>
          <w:color w:val="000000" w:themeColor="text1"/>
          <w:sz w:val="24"/>
          <w:szCs w:val="24"/>
        </w:rPr>
        <w:t xml:space="preserve"> relative social status</w:t>
      </w:r>
      <w:r w:rsidR="00FF7657" w:rsidRPr="00615171">
        <w:rPr>
          <w:rFonts w:asciiTheme="majorBidi" w:hAnsiTheme="majorBidi" w:cstheme="majorBidi"/>
          <w:color w:val="000000" w:themeColor="text1"/>
          <w:sz w:val="24"/>
          <w:szCs w:val="24"/>
        </w:rPr>
        <w:t xml:space="preserve"> and</w:t>
      </w:r>
      <w:r w:rsidR="00652785" w:rsidRPr="00615171">
        <w:rPr>
          <w:rFonts w:asciiTheme="majorBidi" w:hAnsiTheme="majorBidi" w:cstheme="majorBidi"/>
          <w:color w:val="000000" w:themeColor="text1"/>
          <w:sz w:val="24"/>
          <w:szCs w:val="24"/>
        </w:rPr>
        <w:t xml:space="preserve"> social integration as well as on</w:t>
      </w:r>
      <w:r w:rsidR="00FF7657" w:rsidRPr="00615171">
        <w:rPr>
          <w:rFonts w:asciiTheme="majorBidi" w:hAnsiTheme="majorBidi" w:cstheme="majorBidi"/>
          <w:color w:val="000000" w:themeColor="text1"/>
          <w:sz w:val="24"/>
          <w:szCs w:val="24"/>
        </w:rPr>
        <w:t xml:space="preserve"> the</w:t>
      </w:r>
      <w:r w:rsidR="00652785" w:rsidRPr="00615171">
        <w:rPr>
          <w:rFonts w:asciiTheme="majorBidi" w:hAnsiTheme="majorBidi" w:cstheme="majorBidi"/>
          <w:color w:val="000000" w:themeColor="text1"/>
          <w:sz w:val="24"/>
          <w:szCs w:val="24"/>
        </w:rPr>
        <w:t xml:space="preserve"> direct links with </w:t>
      </w:r>
      <w:r w:rsidR="005E0842" w:rsidRPr="00615171">
        <w:rPr>
          <w:rFonts w:asciiTheme="majorBidi" w:hAnsiTheme="majorBidi" w:cstheme="majorBidi"/>
          <w:color w:val="000000" w:themeColor="text1"/>
          <w:sz w:val="24"/>
          <w:szCs w:val="24"/>
        </w:rPr>
        <w:t xml:space="preserve">the </w:t>
      </w:r>
      <w:r w:rsidR="00652785" w:rsidRPr="00615171">
        <w:rPr>
          <w:rFonts w:asciiTheme="majorBidi" w:hAnsiTheme="majorBidi" w:cstheme="majorBidi"/>
          <w:color w:val="000000" w:themeColor="text1"/>
          <w:sz w:val="24"/>
          <w:szCs w:val="24"/>
        </w:rPr>
        <w:t>ownership of particular</w:t>
      </w:r>
      <w:r w:rsidR="00637201" w:rsidRPr="00615171">
        <w:rPr>
          <w:rFonts w:asciiTheme="majorBidi" w:hAnsiTheme="majorBidi" w:cstheme="majorBidi"/>
          <w:color w:val="000000" w:themeColor="text1"/>
          <w:sz w:val="24"/>
          <w:szCs w:val="24"/>
        </w:rPr>
        <w:t xml:space="preserve"> resources such as central heating, </w:t>
      </w:r>
      <w:r w:rsidR="00FF7657" w:rsidRPr="00615171">
        <w:rPr>
          <w:rFonts w:asciiTheme="majorBidi" w:hAnsiTheme="majorBidi" w:cstheme="majorBidi"/>
          <w:color w:val="000000" w:themeColor="text1"/>
          <w:sz w:val="24"/>
          <w:szCs w:val="24"/>
        </w:rPr>
        <w:t>use of</w:t>
      </w:r>
      <w:r w:rsidR="00637201" w:rsidRPr="00615171">
        <w:rPr>
          <w:rFonts w:asciiTheme="majorBidi" w:hAnsiTheme="majorBidi" w:cstheme="majorBidi"/>
          <w:color w:val="000000" w:themeColor="text1"/>
          <w:sz w:val="24"/>
          <w:szCs w:val="24"/>
        </w:rPr>
        <w:t xml:space="preserve"> </w:t>
      </w:r>
      <w:r w:rsidR="00FF7657" w:rsidRPr="00615171">
        <w:rPr>
          <w:rFonts w:asciiTheme="majorBidi" w:hAnsiTheme="majorBidi" w:cstheme="majorBidi"/>
          <w:color w:val="000000" w:themeColor="text1"/>
          <w:sz w:val="24"/>
          <w:szCs w:val="24"/>
        </w:rPr>
        <w:t xml:space="preserve">a </w:t>
      </w:r>
      <w:r w:rsidR="00637201" w:rsidRPr="00615171">
        <w:rPr>
          <w:rFonts w:asciiTheme="majorBidi" w:hAnsiTheme="majorBidi" w:cstheme="majorBidi"/>
          <w:color w:val="000000" w:themeColor="text1"/>
          <w:sz w:val="24"/>
          <w:szCs w:val="24"/>
        </w:rPr>
        <w:t>car</w:t>
      </w:r>
      <w:r w:rsidR="00FF7657" w:rsidRPr="00615171">
        <w:rPr>
          <w:rFonts w:asciiTheme="majorBidi" w:hAnsiTheme="majorBidi" w:cstheme="majorBidi"/>
          <w:color w:val="000000" w:themeColor="text1"/>
          <w:sz w:val="24"/>
          <w:szCs w:val="24"/>
        </w:rPr>
        <w:t xml:space="preserve"> and </w:t>
      </w:r>
      <w:r w:rsidR="00637201" w:rsidRPr="00615171">
        <w:rPr>
          <w:rFonts w:asciiTheme="majorBidi" w:hAnsiTheme="majorBidi" w:cstheme="majorBidi"/>
          <w:color w:val="000000" w:themeColor="text1"/>
          <w:sz w:val="24"/>
          <w:szCs w:val="24"/>
        </w:rPr>
        <w:t>healthcare services (Grundy and Hot, 2001).</w:t>
      </w:r>
      <w:r w:rsidR="0038408B" w:rsidRPr="00615171">
        <w:rPr>
          <w:rFonts w:asciiTheme="majorBidi" w:hAnsiTheme="majorBidi" w:cstheme="majorBidi"/>
          <w:color w:val="000000" w:themeColor="text1"/>
          <w:sz w:val="24"/>
          <w:szCs w:val="24"/>
        </w:rPr>
        <w:t xml:space="preserve"> </w:t>
      </w:r>
      <w:r w:rsidR="00B91F37" w:rsidRPr="00615171">
        <w:rPr>
          <w:rFonts w:asciiTheme="majorBidi" w:hAnsiTheme="majorBidi" w:cstheme="majorBidi"/>
          <w:color w:val="000000" w:themeColor="text1"/>
          <w:sz w:val="24"/>
          <w:szCs w:val="24"/>
        </w:rPr>
        <w:t>The Townsends’ Checklist is a</w:t>
      </w:r>
      <w:r w:rsidR="00FF7657" w:rsidRPr="00615171">
        <w:rPr>
          <w:rFonts w:asciiTheme="majorBidi" w:hAnsiTheme="majorBidi" w:cstheme="majorBidi"/>
          <w:color w:val="000000" w:themeColor="text1"/>
          <w:sz w:val="24"/>
          <w:szCs w:val="24"/>
        </w:rPr>
        <w:t xml:space="preserve"> p</w:t>
      </w:r>
      <w:r w:rsidR="0038408B" w:rsidRPr="00615171">
        <w:rPr>
          <w:rFonts w:asciiTheme="majorBidi" w:hAnsiTheme="majorBidi" w:cstheme="majorBidi"/>
          <w:color w:val="000000" w:themeColor="text1"/>
          <w:sz w:val="24"/>
          <w:szCs w:val="24"/>
        </w:rPr>
        <w:t>opular</w:t>
      </w:r>
      <w:r w:rsidR="00B91F37" w:rsidRPr="00615171">
        <w:rPr>
          <w:rFonts w:asciiTheme="majorBidi" w:hAnsiTheme="majorBidi" w:cstheme="majorBidi"/>
          <w:color w:val="000000" w:themeColor="text1"/>
          <w:sz w:val="24"/>
          <w:szCs w:val="24"/>
        </w:rPr>
        <w:t xml:space="preserve"> method for</w:t>
      </w:r>
      <w:r w:rsidR="00FF7657" w:rsidRPr="00615171">
        <w:rPr>
          <w:rFonts w:asciiTheme="majorBidi" w:hAnsiTheme="majorBidi" w:cstheme="majorBidi"/>
          <w:color w:val="000000" w:themeColor="text1"/>
          <w:sz w:val="24"/>
          <w:szCs w:val="24"/>
        </w:rPr>
        <w:t xml:space="preserve"> </w:t>
      </w:r>
      <w:r w:rsidR="0038408B" w:rsidRPr="00615171">
        <w:rPr>
          <w:rFonts w:asciiTheme="majorBidi" w:hAnsiTheme="majorBidi" w:cstheme="majorBidi"/>
          <w:color w:val="000000" w:themeColor="text1"/>
          <w:sz w:val="24"/>
          <w:szCs w:val="24"/>
        </w:rPr>
        <w:t>measur</w:t>
      </w:r>
      <w:r w:rsidR="00B91F37" w:rsidRPr="00615171">
        <w:rPr>
          <w:rFonts w:asciiTheme="majorBidi" w:hAnsiTheme="majorBidi" w:cstheme="majorBidi"/>
          <w:color w:val="000000" w:themeColor="text1"/>
          <w:sz w:val="24"/>
          <w:szCs w:val="24"/>
        </w:rPr>
        <w:t xml:space="preserve">ing </w:t>
      </w:r>
      <w:r w:rsidR="0038408B" w:rsidRPr="00615171">
        <w:rPr>
          <w:rFonts w:asciiTheme="majorBidi" w:hAnsiTheme="majorBidi" w:cstheme="majorBidi"/>
          <w:color w:val="000000" w:themeColor="text1"/>
          <w:sz w:val="24"/>
          <w:szCs w:val="24"/>
        </w:rPr>
        <w:t>deprivation that</w:t>
      </w:r>
      <w:r w:rsidR="00B91F37" w:rsidRPr="00615171">
        <w:rPr>
          <w:rFonts w:asciiTheme="majorBidi" w:hAnsiTheme="majorBidi" w:cstheme="majorBidi"/>
          <w:color w:val="000000" w:themeColor="text1"/>
          <w:sz w:val="24"/>
          <w:szCs w:val="24"/>
        </w:rPr>
        <w:t xml:space="preserve"> focuses on</w:t>
      </w:r>
      <w:r w:rsidR="0038408B" w:rsidRPr="00615171">
        <w:rPr>
          <w:rFonts w:asciiTheme="majorBidi" w:hAnsiTheme="majorBidi" w:cstheme="majorBidi"/>
          <w:color w:val="000000" w:themeColor="text1"/>
          <w:sz w:val="24"/>
          <w:szCs w:val="24"/>
        </w:rPr>
        <w:t xml:space="preserve"> resources</w:t>
      </w:r>
      <w:r w:rsidR="00B91F37" w:rsidRPr="00615171">
        <w:rPr>
          <w:rFonts w:asciiTheme="majorBidi" w:hAnsiTheme="majorBidi" w:cstheme="majorBidi"/>
          <w:color w:val="000000" w:themeColor="text1"/>
          <w:sz w:val="24"/>
          <w:szCs w:val="24"/>
        </w:rPr>
        <w:t xml:space="preserve"> that</w:t>
      </w:r>
      <w:r w:rsidR="003C76C0" w:rsidRPr="00615171">
        <w:rPr>
          <w:rFonts w:asciiTheme="majorBidi" w:hAnsiTheme="majorBidi" w:cstheme="majorBidi"/>
          <w:color w:val="000000" w:themeColor="text1"/>
          <w:sz w:val="24"/>
          <w:szCs w:val="24"/>
        </w:rPr>
        <w:t xml:space="preserve"> </w:t>
      </w:r>
      <w:r w:rsidR="00B91F37" w:rsidRPr="00615171">
        <w:rPr>
          <w:rFonts w:asciiTheme="majorBidi" w:hAnsiTheme="majorBidi" w:cstheme="majorBidi"/>
          <w:color w:val="000000" w:themeColor="text1"/>
          <w:sz w:val="24"/>
          <w:szCs w:val="24"/>
        </w:rPr>
        <w:t>might</w:t>
      </w:r>
      <w:r w:rsidR="003C76C0" w:rsidRPr="00615171">
        <w:rPr>
          <w:rFonts w:asciiTheme="majorBidi" w:hAnsiTheme="majorBidi" w:cstheme="majorBidi"/>
          <w:color w:val="000000" w:themeColor="text1"/>
          <w:sz w:val="24"/>
          <w:szCs w:val="24"/>
        </w:rPr>
        <w:t xml:space="preserve"> commonly </w:t>
      </w:r>
      <w:r w:rsidR="00B91F37" w:rsidRPr="00615171">
        <w:rPr>
          <w:rFonts w:asciiTheme="majorBidi" w:hAnsiTheme="majorBidi" w:cstheme="majorBidi"/>
          <w:color w:val="000000" w:themeColor="text1"/>
          <w:sz w:val="24"/>
          <w:szCs w:val="24"/>
        </w:rPr>
        <w:t>be regarded</w:t>
      </w:r>
      <w:r w:rsidR="0038408B" w:rsidRPr="00615171">
        <w:rPr>
          <w:rFonts w:asciiTheme="majorBidi" w:hAnsiTheme="majorBidi" w:cstheme="majorBidi"/>
          <w:color w:val="000000" w:themeColor="text1"/>
          <w:sz w:val="24"/>
          <w:szCs w:val="24"/>
        </w:rPr>
        <w:t xml:space="preserve"> as essential.</w:t>
      </w:r>
    </w:p>
    <w:p w14:paraId="6ADA4989" w14:textId="77777777" w:rsidR="00623739" w:rsidRPr="00615171" w:rsidRDefault="00623739" w:rsidP="00623739">
      <w:pPr>
        <w:spacing w:after="0" w:line="240" w:lineRule="auto"/>
        <w:ind w:firstLine="720"/>
        <w:jc w:val="both"/>
        <w:rPr>
          <w:rFonts w:asciiTheme="majorBidi" w:hAnsiTheme="majorBidi" w:cstheme="majorBidi"/>
          <w:color w:val="000000" w:themeColor="text1"/>
          <w:sz w:val="24"/>
          <w:szCs w:val="24"/>
        </w:rPr>
      </w:pPr>
    </w:p>
    <w:p w14:paraId="3D51E6AC" w14:textId="67CC39D1" w:rsidR="0038408B" w:rsidRPr="00615171" w:rsidRDefault="0038408B" w:rsidP="0062373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Deprivation is also measured on the basis of ecological data. </w:t>
      </w:r>
      <w:r w:rsidR="00DB42C6" w:rsidRPr="00615171">
        <w:rPr>
          <w:rFonts w:asciiTheme="majorBidi" w:hAnsiTheme="majorBidi" w:cstheme="majorBidi"/>
          <w:color w:val="000000" w:themeColor="text1"/>
          <w:sz w:val="24"/>
          <w:szCs w:val="24"/>
        </w:rPr>
        <w:t>L</w:t>
      </w:r>
      <w:r w:rsidRPr="00615171">
        <w:rPr>
          <w:rFonts w:asciiTheme="majorBidi" w:hAnsiTheme="majorBidi" w:cstheme="majorBidi"/>
          <w:color w:val="000000" w:themeColor="text1"/>
          <w:sz w:val="24"/>
          <w:szCs w:val="24"/>
        </w:rPr>
        <w:t>iving in a depri</w:t>
      </w:r>
      <w:r w:rsidR="00DB42C6" w:rsidRPr="00615171">
        <w:rPr>
          <w:rFonts w:asciiTheme="majorBidi" w:hAnsiTheme="majorBidi" w:cstheme="majorBidi"/>
          <w:color w:val="000000" w:themeColor="text1"/>
          <w:sz w:val="24"/>
          <w:szCs w:val="24"/>
        </w:rPr>
        <w:t>ved area</w:t>
      </w:r>
      <w:r w:rsidR="00537680" w:rsidRPr="00615171">
        <w:rPr>
          <w:rFonts w:asciiTheme="majorBidi" w:hAnsiTheme="majorBidi" w:cstheme="majorBidi"/>
          <w:color w:val="000000" w:themeColor="text1"/>
          <w:sz w:val="24"/>
          <w:szCs w:val="24"/>
        </w:rPr>
        <w:t>, whether rural or urban,</w:t>
      </w:r>
      <w:r w:rsidR="00DB42C6" w:rsidRPr="00615171">
        <w:rPr>
          <w:rFonts w:asciiTheme="majorBidi" w:hAnsiTheme="majorBidi" w:cstheme="majorBidi"/>
          <w:color w:val="000000" w:themeColor="text1"/>
          <w:sz w:val="24"/>
          <w:szCs w:val="24"/>
        </w:rPr>
        <w:t xml:space="preserve"> has direct effects on </w:t>
      </w:r>
      <w:r w:rsidR="00537680" w:rsidRPr="00615171">
        <w:rPr>
          <w:rFonts w:asciiTheme="majorBidi" w:hAnsiTheme="majorBidi" w:cstheme="majorBidi"/>
          <w:color w:val="000000" w:themeColor="text1"/>
          <w:sz w:val="24"/>
          <w:szCs w:val="24"/>
        </w:rPr>
        <w:t xml:space="preserve">the </w:t>
      </w:r>
      <w:r w:rsidR="00DB42C6" w:rsidRPr="00615171">
        <w:rPr>
          <w:rFonts w:asciiTheme="majorBidi" w:hAnsiTheme="majorBidi" w:cstheme="majorBidi"/>
          <w:color w:val="000000" w:themeColor="text1"/>
          <w:sz w:val="24"/>
          <w:szCs w:val="24"/>
        </w:rPr>
        <w:t>physical and mental health status</w:t>
      </w:r>
      <w:r w:rsidR="00537680" w:rsidRPr="00615171">
        <w:rPr>
          <w:rFonts w:asciiTheme="majorBidi" w:hAnsiTheme="majorBidi" w:cstheme="majorBidi"/>
          <w:color w:val="000000" w:themeColor="text1"/>
          <w:sz w:val="24"/>
          <w:szCs w:val="24"/>
        </w:rPr>
        <w:t xml:space="preserve"> of people living in those areas</w:t>
      </w:r>
      <w:r w:rsidR="00DB42C6" w:rsidRPr="00615171">
        <w:rPr>
          <w:rFonts w:asciiTheme="majorBidi" w:hAnsiTheme="majorBidi" w:cstheme="majorBidi"/>
          <w:color w:val="000000" w:themeColor="text1"/>
          <w:sz w:val="24"/>
          <w:szCs w:val="24"/>
        </w:rPr>
        <w:t xml:space="preserve"> (</w:t>
      </w:r>
      <w:proofErr w:type="spellStart"/>
      <w:r w:rsidR="00DB42C6" w:rsidRPr="00615171">
        <w:rPr>
          <w:rFonts w:asciiTheme="majorBidi" w:hAnsiTheme="majorBidi" w:cstheme="majorBidi"/>
          <w:color w:val="000000" w:themeColor="text1"/>
          <w:sz w:val="24"/>
          <w:szCs w:val="24"/>
        </w:rPr>
        <w:t>Sloggett</w:t>
      </w:r>
      <w:proofErr w:type="spellEnd"/>
      <w:r w:rsidR="00DB42C6" w:rsidRPr="00615171">
        <w:rPr>
          <w:rFonts w:asciiTheme="majorBidi" w:hAnsiTheme="majorBidi" w:cstheme="majorBidi"/>
          <w:color w:val="000000" w:themeColor="text1"/>
          <w:sz w:val="24"/>
          <w:szCs w:val="24"/>
        </w:rPr>
        <w:t xml:space="preserve"> and Joshi, 1998)</w:t>
      </w:r>
      <w:r w:rsidR="00ED6167" w:rsidRPr="00615171">
        <w:rPr>
          <w:rFonts w:asciiTheme="majorBidi" w:hAnsiTheme="majorBidi" w:cstheme="majorBidi"/>
          <w:color w:val="000000" w:themeColor="text1"/>
          <w:sz w:val="24"/>
          <w:szCs w:val="24"/>
        </w:rPr>
        <w:t>.</w:t>
      </w:r>
      <w:r w:rsidR="0085156B" w:rsidRPr="00615171">
        <w:rPr>
          <w:rFonts w:asciiTheme="majorBidi" w:hAnsiTheme="majorBidi" w:cstheme="majorBidi"/>
          <w:color w:val="000000" w:themeColor="text1"/>
          <w:sz w:val="24"/>
          <w:szCs w:val="24"/>
        </w:rPr>
        <w:t xml:space="preserve"> For example</w:t>
      </w:r>
      <w:r w:rsidR="00D659FC" w:rsidRPr="00615171">
        <w:rPr>
          <w:rFonts w:asciiTheme="majorBidi" w:hAnsiTheme="majorBidi" w:cstheme="majorBidi"/>
          <w:color w:val="000000" w:themeColor="text1"/>
          <w:sz w:val="24"/>
          <w:szCs w:val="24"/>
        </w:rPr>
        <w:t>,</w:t>
      </w:r>
      <w:r w:rsidR="0085156B" w:rsidRPr="00615171">
        <w:rPr>
          <w:rFonts w:asciiTheme="majorBidi" w:hAnsiTheme="majorBidi" w:cstheme="majorBidi"/>
          <w:color w:val="000000" w:themeColor="text1"/>
          <w:sz w:val="24"/>
          <w:szCs w:val="24"/>
        </w:rPr>
        <w:t xml:space="preserve"> </w:t>
      </w:r>
      <w:r w:rsidR="00FB3772" w:rsidRPr="00615171">
        <w:rPr>
          <w:rFonts w:asciiTheme="majorBidi" w:hAnsiTheme="majorBidi" w:cstheme="majorBidi"/>
          <w:color w:val="000000" w:themeColor="text1"/>
          <w:sz w:val="24"/>
          <w:szCs w:val="24"/>
        </w:rPr>
        <w:t xml:space="preserve">in 2005-06 </w:t>
      </w:r>
      <w:r w:rsidR="0085156B" w:rsidRPr="00615171">
        <w:rPr>
          <w:rFonts w:asciiTheme="majorBidi" w:hAnsiTheme="majorBidi" w:cstheme="majorBidi"/>
          <w:color w:val="000000" w:themeColor="text1"/>
          <w:sz w:val="24"/>
          <w:szCs w:val="24"/>
        </w:rPr>
        <w:t>male life expectancy in one of the poorest w</w:t>
      </w:r>
      <w:r w:rsidR="00FB3772" w:rsidRPr="00615171">
        <w:rPr>
          <w:rFonts w:asciiTheme="majorBidi" w:hAnsiTheme="majorBidi" w:cstheme="majorBidi"/>
          <w:color w:val="000000" w:themeColor="text1"/>
          <w:sz w:val="24"/>
          <w:szCs w:val="24"/>
        </w:rPr>
        <w:t>a</w:t>
      </w:r>
      <w:r w:rsidR="0085156B" w:rsidRPr="00615171">
        <w:rPr>
          <w:rFonts w:asciiTheme="majorBidi" w:hAnsiTheme="majorBidi" w:cstheme="majorBidi"/>
          <w:color w:val="000000" w:themeColor="text1"/>
          <w:sz w:val="24"/>
          <w:szCs w:val="24"/>
        </w:rPr>
        <w:t>rd</w:t>
      </w:r>
      <w:r w:rsidR="00FB3772" w:rsidRPr="00615171">
        <w:rPr>
          <w:rFonts w:asciiTheme="majorBidi" w:hAnsiTheme="majorBidi" w:cstheme="majorBidi"/>
          <w:color w:val="000000" w:themeColor="text1"/>
          <w:sz w:val="24"/>
          <w:szCs w:val="24"/>
        </w:rPr>
        <w:t>s</w:t>
      </w:r>
      <w:r w:rsidR="0085156B" w:rsidRPr="00615171">
        <w:rPr>
          <w:rFonts w:asciiTheme="majorBidi" w:hAnsiTheme="majorBidi" w:cstheme="majorBidi"/>
          <w:color w:val="000000" w:themeColor="text1"/>
          <w:sz w:val="24"/>
          <w:szCs w:val="24"/>
        </w:rPr>
        <w:t xml:space="preserve"> in </w:t>
      </w:r>
      <w:proofErr w:type="spellStart"/>
      <w:r w:rsidR="0085156B" w:rsidRPr="00615171">
        <w:rPr>
          <w:rFonts w:asciiTheme="majorBidi" w:hAnsiTheme="majorBidi" w:cstheme="majorBidi"/>
          <w:color w:val="000000" w:themeColor="text1"/>
          <w:sz w:val="24"/>
          <w:szCs w:val="24"/>
        </w:rPr>
        <w:t>Haringey</w:t>
      </w:r>
      <w:proofErr w:type="spellEnd"/>
      <w:r w:rsidR="00FB3772" w:rsidRPr="00615171">
        <w:rPr>
          <w:rFonts w:asciiTheme="majorBidi" w:hAnsiTheme="majorBidi" w:cstheme="majorBidi"/>
          <w:color w:val="000000" w:themeColor="text1"/>
          <w:sz w:val="24"/>
          <w:szCs w:val="24"/>
        </w:rPr>
        <w:t xml:space="preserve"> in</w:t>
      </w:r>
      <w:r w:rsidR="0085156B" w:rsidRPr="00615171">
        <w:rPr>
          <w:rFonts w:asciiTheme="majorBidi" w:hAnsiTheme="majorBidi" w:cstheme="majorBidi"/>
          <w:color w:val="000000" w:themeColor="text1"/>
          <w:sz w:val="24"/>
          <w:szCs w:val="24"/>
        </w:rPr>
        <w:t xml:space="preserve"> London was 72.5 years</w:t>
      </w:r>
      <w:r w:rsidR="00FB3772" w:rsidRPr="00615171">
        <w:rPr>
          <w:rFonts w:asciiTheme="majorBidi" w:hAnsiTheme="majorBidi" w:cstheme="majorBidi"/>
          <w:color w:val="000000" w:themeColor="text1"/>
          <w:sz w:val="24"/>
          <w:szCs w:val="24"/>
        </w:rPr>
        <w:t xml:space="preserve"> </w:t>
      </w:r>
      <w:r w:rsidR="0085156B" w:rsidRPr="00615171">
        <w:rPr>
          <w:rFonts w:asciiTheme="majorBidi" w:hAnsiTheme="majorBidi" w:cstheme="majorBidi"/>
          <w:color w:val="000000" w:themeColor="text1"/>
          <w:sz w:val="24"/>
          <w:szCs w:val="24"/>
        </w:rPr>
        <w:t>wher</w:t>
      </w:r>
      <w:r w:rsidR="00D659FC" w:rsidRPr="00615171">
        <w:rPr>
          <w:rFonts w:asciiTheme="majorBidi" w:hAnsiTheme="majorBidi" w:cstheme="majorBidi"/>
          <w:color w:val="000000" w:themeColor="text1"/>
          <w:sz w:val="24"/>
          <w:szCs w:val="24"/>
        </w:rPr>
        <w:t>eas in one of the</w:t>
      </w:r>
      <w:r w:rsidR="0085156B" w:rsidRPr="00615171">
        <w:rPr>
          <w:rFonts w:asciiTheme="majorBidi" w:hAnsiTheme="majorBidi" w:cstheme="majorBidi"/>
          <w:color w:val="000000" w:themeColor="text1"/>
          <w:sz w:val="24"/>
          <w:szCs w:val="24"/>
        </w:rPr>
        <w:t xml:space="preserve"> we</w:t>
      </w:r>
      <w:r w:rsidR="00D659FC" w:rsidRPr="00615171">
        <w:rPr>
          <w:rFonts w:asciiTheme="majorBidi" w:hAnsiTheme="majorBidi" w:cstheme="majorBidi"/>
          <w:color w:val="000000" w:themeColor="text1"/>
          <w:sz w:val="24"/>
          <w:szCs w:val="24"/>
        </w:rPr>
        <w:t>althiest w</w:t>
      </w:r>
      <w:r w:rsidR="00FB3772" w:rsidRPr="00615171">
        <w:rPr>
          <w:rFonts w:asciiTheme="majorBidi" w:hAnsiTheme="majorBidi" w:cstheme="majorBidi"/>
          <w:color w:val="000000" w:themeColor="text1"/>
          <w:sz w:val="24"/>
          <w:szCs w:val="24"/>
        </w:rPr>
        <w:t>ards</w:t>
      </w:r>
      <w:r w:rsidR="00D659FC" w:rsidRPr="00615171">
        <w:rPr>
          <w:rFonts w:asciiTheme="majorBidi" w:hAnsiTheme="majorBidi" w:cstheme="majorBidi"/>
          <w:color w:val="000000" w:themeColor="text1"/>
          <w:sz w:val="24"/>
          <w:szCs w:val="24"/>
        </w:rPr>
        <w:t xml:space="preserve"> </w:t>
      </w:r>
      <w:r w:rsidR="00FB3772" w:rsidRPr="00615171">
        <w:rPr>
          <w:rFonts w:asciiTheme="majorBidi" w:hAnsiTheme="majorBidi" w:cstheme="majorBidi"/>
          <w:color w:val="000000" w:themeColor="text1"/>
          <w:sz w:val="24"/>
          <w:szCs w:val="24"/>
        </w:rPr>
        <w:t>it</w:t>
      </w:r>
      <w:r w:rsidR="00D659FC" w:rsidRPr="00615171">
        <w:rPr>
          <w:rFonts w:asciiTheme="majorBidi" w:hAnsiTheme="majorBidi" w:cstheme="majorBidi"/>
          <w:color w:val="000000" w:themeColor="text1"/>
          <w:sz w:val="24"/>
          <w:szCs w:val="24"/>
        </w:rPr>
        <w:t xml:space="preserve"> was</w:t>
      </w:r>
      <w:r w:rsidR="0085156B" w:rsidRPr="00615171">
        <w:rPr>
          <w:rFonts w:asciiTheme="majorBidi" w:hAnsiTheme="majorBidi" w:cstheme="majorBidi"/>
          <w:color w:val="000000" w:themeColor="text1"/>
          <w:sz w:val="24"/>
          <w:szCs w:val="24"/>
        </w:rPr>
        <w:t xml:space="preserve"> 81.5</w:t>
      </w:r>
      <w:r w:rsidR="00D659FC" w:rsidRPr="00615171">
        <w:rPr>
          <w:rFonts w:asciiTheme="majorBidi" w:hAnsiTheme="majorBidi" w:cstheme="majorBidi"/>
          <w:color w:val="000000" w:themeColor="text1"/>
          <w:sz w:val="24"/>
          <w:szCs w:val="24"/>
        </w:rPr>
        <w:t xml:space="preserve"> years</w:t>
      </w:r>
      <w:r w:rsidR="0042073D" w:rsidRPr="00615171">
        <w:rPr>
          <w:rFonts w:asciiTheme="majorBidi" w:hAnsiTheme="majorBidi" w:cstheme="majorBidi"/>
          <w:color w:val="000000" w:themeColor="text1"/>
          <w:sz w:val="24"/>
          <w:szCs w:val="24"/>
        </w:rPr>
        <w:t xml:space="preserve"> (Tottenham Green Profile</w:t>
      </w:r>
      <w:r w:rsidR="00A94349" w:rsidRPr="00615171">
        <w:rPr>
          <w:rFonts w:asciiTheme="majorBidi" w:hAnsiTheme="majorBidi" w:cstheme="majorBidi"/>
          <w:color w:val="000000" w:themeColor="text1"/>
          <w:sz w:val="24"/>
          <w:szCs w:val="24"/>
        </w:rPr>
        <w:t>, 2012</w:t>
      </w:r>
      <w:r w:rsidR="00D659FC" w:rsidRPr="00615171">
        <w:rPr>
          <w:rFonts w:asciiTheme="majorBidi" w:hAnsiTheme="majorBidi" w:cstheme="majorBidi"/>
          <w:color w:val="000000" w:themeColor="text1"/>
          <w:sz w:val="24"/>
          <w:szCs w:val="24"/>
        </w:rPr>
        <w:t xml:space="preserve">). </w:t>
      </w:r>
      <w:r w:rsidR="00ED6167" w:rsidRPr="00615171">
        <w:rPr>
          <w:rFonts w:asciiTheme="majorBidi" w:hAnsiTheme="majorBidi" w:cstheme="majorBidi"/>
          <w:color w:val="000000" w:themeColor="text1"/>
          <w:sz w:val="24"/>
          <w:szCs w:val="24"/>
        </w:rPr>
        <w:t xml:space="preserve">Area classification </w:t>
      </w:r>
      <w:r w:rsidR="00FB3772" w:rsidRPr="00615171">
        <w:rPr>
          <w:rFonts w:asciiTheme="majorBidi" w:hAnsiTheme="majorBidi" w:cstheme="majorBidi"/>
          <w:color w:val="000000" w:themeColor="text1"/>
          <w:sz w:val="24"/>
          <w:szCs w:val="24"/>
        </w:rPr>
        <w:t xml:space="preserve">can </w:t>
      </w:r>
      <w:r w:rsidR="00ED6167" w:rsidRPr="00615171">
        <w:rPr>
          <w:rFonts w:asciiTheme="majorBidi" w:hAnsiTheme="majorBidi" w:cstheme="majorBidi"/>
          <w:color w:val="000000" w:themeColor="text1"/>
          <w:sz w:val="24"/>
          <w:szCs w:val="24"/>
        </w:rPr>
        <w:t>often g</w:t>
      </w:r>
      <w:r w:rsidR="00FB3772" w:rsidRPr="00615171">
        <w:rPr>
          <w:rFonts w:asciiTheme="majorBidi" w:hAnsiTheme="majorBidi" w:cstheme="majorBidi"/>
          <w:color w:val="000000" w:themeColor="text1"/>
          <w:sz w:val="24"/>
          <w:szCs w:val="24"/>
        </w:rPr>
        <w:t xml:space="preserve">ive indicators </w:t>
      </w:r>
      <w:r w:rsidR="00ED6167" w:rsidRPr="00615171">
        <w:rPr>
          <w:rFonts w:asciiTheme="majorBidi" w:hAnsiTheme="majorBidi" w:cstheme="majorBidi"/>
          <w:color w:val="000000" w:themeColor="text1"/>
          <w:sz w:val="24"/>
          <w:szCs w:val="24"/>
        </w:rPr>
        <w:t>about the socio-economic status of people living in th</w:t>
      </w:r>
      <w:r w:rsidR="00FB3772" w:rsidRPr="00615171">
        <w:rPr>
          <w:rFonts w:asciiTheme="majorBidi" w:hAnsiTheme="majorBidi" w:cstheme="majorBidi"/>
          <w:color w:val="000000" w:themeColor="text1"/>
          <w:sz w:val="24"/>
          <w:szCs w:val="24"/>
        </w:rPr>
        <w:t>o</w:t>
      </w:r>
      <w:r w:rsidR="00ED6167" w:rsidRPr="00615171">
        <w:rPr>
          <w:rFonts w:asciiTheme="majorBidi" w:hAnsiTheme="majorBidi" w:cstheme="majorBidi"/>
          <w:color w:val="000000" w:themeColor="text1"/>
          <w:sz w:val="24"/>
          <w:szCs w:val="24"/>
        </w:rPr>
        <w:t>se</w:t>
      </w:r>
      <w:r w:rsidR="003C76C0" w:rsidRPr="00615171">
        <w:rPr>
          <w:rFonts w:asciiTheme="majorBidi" w:hAnsiTheme="majorBidi" w:cstheme="majorBidi"/>
          <w:color w:val="000000" w:themeColor="text1"/>
          <w:sz w:val="24"/>
          <w:szCs w:val="24"/>
        </w:rPr>
        <w:t xml:space="preserve"> areas</w:t>
      </w:r>
      <w:r w:rsidR="00A94349" w:rsidRPr="00615171">
        <w:rPr>
          <w:rFonts w:asciiTheme="majorBidi" w:hAnsiTheme="majorBidi" w:cstheme="majorBidi"/>
          <w:color w:val="000000" w:themeColor="text1"/>
          <w:sz w:val="24"/>
          <w:szCs w:val="24"/>
        </w:rPr>
        <w:t xml:space="preserve">. The </w:t>
      </w:r>
      <w:r w:rsidR="00EE6C0B" w:rsidRPr="00615171">
        <w:rPr>
          <w:rFonts w:asciiTheme="majorBidi" w:hAnsiTheme="majorBidi" w:cstheme="majorBidi"/>
          <w:color w:val="000000" w:themeColor="text1"/>
          <w:sz w:val="24"/>
          <w:szCs w:val="24"/>
        </w:rPr>
        <w:t>social c</w:t>
      </w:r>
      <w:r w:rsidR="00CD40FB" w:rsidRPr="00615171">
        <w:rPr>
          <w:rFonts w:asciiTheme="majorBidi" w:hAnsiTheme="majorBidi" w:cstheme="majorBidi"/>
          <w:color w:val="000000" w:themeColor="text1"/>
          <w:sz w:val="24"/>
          <w:szCs w:val="24"/>
        </w:rPr>
        <w:t xml:space="preserve">haracteristics of </w:t>
      </w:r>
      <w:proofErr w:type="spellStart"/>
      <w:r w:rsidR="00CD40FB" w:rsidRPr="00615171">
        <w:rPr>
          <w:rFonts w:asciiTheme="majorBidi" w:hAnsiTheme="majorBidi" w:cstheme="majorBidi"/>
          <w:color w:val="000000" w:themeColor="text1"/>
          <w:sz w:val="24"/>
          <w:szCs w:val="24"/>
        </w:rPr>
        <w:t>neighbourhoods</w:t>
      </w:r>
      <w:proofErr w:type="spellEnd"/>
      <w:r w:rsidR="00EE6C0B" w:rsidRPr="00615171">
        <w:rPr>
          <w:rFonts w:asciiTheme="majorBidi" w:hAnsiTheme="majorBidi" w:cstheme="majorBidi"/>
          <w:color w:val="000000" w:themeColor="text1"/>
          <w:sz w:val="24"/>
          <w:szCs w:val="24"/>
        </w:rPr>
        <w:t xml:space="preserve"> </w:t>
      </w:r>
      <w:r w:rsidR="00FB3772" w:rsidRPr="00615171">
        <w:rPr>
          <w:rFonts w:asciiTheme="majorBidi" w:hAnsiTheme="majorBidi" w:cstheme="majorBidi"/>
          <w:color w:val="000000" w:themeColor="text1"/>
          <w:sz w:val="24"/>
          <w:szCs w:val="24"/>
        </w:rPr>
        <w:t>can be assessed by</w:t>
      </w:r>
      <w:r w:rsidR="00EE6C0B" w:rsidRPr="00615171">
        <w:rPr>
          <w:rFonts w:asciiTheme="majorBidi" w:hAnsiTheme="majorBidi" w:cstheme="majorBidi"/>
          <w:color w:val="000000" w:themeColor="text1"/>
          <w:sz w:val="24"/>
          <w:szCs w:val="24"/>
        </w:rPr>
        <w:t xml:space="preserve"> the extent of mutual support,</w:t>
      </w:r>
      <w:r w:rsidR="00FB3772" w:rsidRPr="00615171">
        <w:rPr>
          <w:rFonts w:asciiTheme="majorBidi" w:hAnsiTheme="majorBidi" w:cstheme="majorBidi"/>
          <w:color w:val="000000" w:themeColor="text1"/>
          <w:sz w:val="24"/>
          <w:szCs w:val="24"/>
        </w:rPr>
        <w:t xml:space="preserve"> for instance and by</w:t>
      </w:r>
      <w:r w:rsidR="00EE6C0B" w:rsidRPr="00615171">
        <w:rPr>
          <w:rFonts w:asciiTheme="majorBidi" w:hAnsiTheme="majorBidi" w:cstheme="majorBidi"/>
          <w:color w:val="000000" w:themeColor="text1"/>
          <w:sz w:val="24"/>
          <w:szCs w:val="24"/>
        </w:rPr>
        <w:t xml:space="preserve"> feeling</w:t>
      </w:r>
      <w:r w:rsidR="00FB3772" w:rsidRPr="00615171">
        <w:rPr>
          <w:rFonts w:asciiTheme="majorBidi" w:hAnsiTheme="majorBidi" w:cstheme="majorBidi"/>
          <w:color w:val="000000" w:themeColor="text1"/>
          <w:sz w:val="24"/>
          <w:szCs w:val="24"/>
        </w:rPr>
        <w:t>s</w:t>
      </w:r>
      <w:r w:rsidR="00EE6C0B" w:rsidRPr="00615171">
        <w:rPr>
          <w:rFonts w:asciiTheme="majorBidi" w:hAnsiTheme="majorBidi" w:cstheme="majorBidi"/>
          <w:color w:val="000000" w:themeColor="text1"/>
          <w:sz w:val="24"/>
          <w:szCs w:val="24"/>
        </w:rPr>
        <w:t xml:space="preserve"> of </w:t>
      </w:r>
      <w:r w:rsidR="00EE6C0B" w:rsidRPr="00615171">
        <w:rPr>
          <w:rFonts w:asciiTheme="majorBidi" w:hAnsiTheme="majorBidi" w:cstheme="majorBidi"/>
          <w:color w:val="000000" w:themeColor="text1"/>
          <w:sz w:val="24"/>
          <w:szCs w:val="24"/>
        </w:rPr>
        <w:lastRenderedPageBreak/>
        <w:t xml:space="preserve">trust, </w:t>
      </w:r>
      <w:r w:rsidR="00FB3772" w:rsidRPr="00615171">
        <w:rPr>
          <w:rFonts w:asciiTheme="majorBidi" w:hAnsiTheme="majorBidi" w:cstheme="majorBidi"/>
          <w:color w:val="000000" w:themeColor="text1"/>
          <w:sz w:val="24"/>
          <w:szCs w:val="24"/>
        </w:rPr>
        <w:t>numbers taking part</w:t>
      </w:r>
      <w:r w:rsidR="009F40AF" w:rsidRPr="00615171">
        <w:rPr>
          <w:rFonts w:asciiTheme="majorBidi" w:hAnsiTheme="majorBidi" w:cstheme="majorBidi"/>
          <w:color w:val="000000" w:themeColor="text1"/>
          <w:sz w:val="24"/>
          <w:szCs w:val="24"/>
        </w:rPr>
        <w:t xml:space="preserve"> in social works and</w:t>
      </w:r>
      <w:r w:rsidR="00FB3772" w:rsidRPr="00615171">
        <w:rPr>
          <w:rFonts w:asciiTheme="majorBidi" w:hAnsiTheme="majorBidi" w:cstheme="majorBidi"/>
          <w:color w:val="000000" w:themeColor="text1"/>
          <w:sz w:val="24"/>
          <w:szCs w:val="24"/>
        </w:rPr>
        <w:t xml:space="preserve"> also by the</w:t>
      </w:r>
      <w:r w:rsidR="009F40AF" w:rsidRPr="00615171">
        <w:rPr>
          <w:rFonts w:asciiTheme="majorBidi" w:hAnsiTheme="majorBidi" w:cstheme="majorBidi"/>
          <w:color w:val="000000" w:themeColor="text1"/>
          <w:sz w:val="24"/>
          <w:szCs w:val="24"/>
        </w:rPr>
        <w:t xml:space="preserve"> participation rate in crime and vandalism</w:t>
      </w:r>
      <w:r w:rsidR="00FB3772" w:rsidRPr="00615171">
        <w:rPr>
          <w:rFonts w:asciiTheme="majorBidi" w:hAnsiTheme="majorBidi" w:cstheme="majorBidi"/>
          <w:color w:val="000000" w:themeColor="text1"/>
          <w:sz w:val="24"/>
          <w:szCs w:val="24"/>
        </w:rPr>
        <w:t xml:space="preserve">. These all </w:t>
      </w:r>
      <w:r w:rsidR="009F40AF" w:rsidRPr="00615171">
        <w:rPr>
          <w:rFonts w:asciiTheme="majorBidi" w:hAnsiTheme="majorBidi" w:cstheme="majorBidi"/>
          <w:color w:val="000000" w:themeColor="text1"/>
          <w:sz w:val="24"/>
          <w:szCs w:val="24"/>
        </w:rPr>
        <w:t xml:space="preserve">have </w:t>
      </w:r>
      <w:r w:rsidR="00FB3772" w:rsidRPr="00615171">
        <w:rPr>
          <w:rFonts w:asciiTheme="majorBidi" w:hAnsiTheme="majorBidi" w:cstheme="majorBidi"/>
          <w:color w:val="000000" w:themeColor="text1"/>
          <w:sz w:val="24"/>
          <w:szCs w:val="24"/>
        </w:rPr>
        <w:t xml:space="preserve">a </w:t>
      </w:r>
      <w:r w:rsidR="009F40AF" w:rsidRPr="00615171">
        <w:rPr>
          <w:rFonts w:asciiTheme="majorBidi" w:hAnsiTheme="majorBidi" w:cstheme="majorBidi"/>
          <w:color w:val="000000" w:themeColor="text1"/>
          <w:sz w:val="24"/>
          <w:szCs w:val="24"/>
        </w:rPr>
        <w:t>significant influence on health</w:t>
      </w:r>
      <w:r w:rsidR="00A74996" w:rsidRPr="00615171">
        <w:rPr>
          <w:rFonts w:asciiTheme="majorBidi" w:hAnsiTheme="majorBidi" w:cstheme="majorBidi"/>
          <w:color w:val="000000" w:themeColor="text1"/>
          <w:sz w:val="24"/>
          <w:szCs w:val="24"/>
        </w:rPr>
        <w:t xml:space="preserve"> (Bone </w:t>
      </w:r>
      <w:r w:rsidR="002E5F20" w:rsidRPr="00615171">
        <w:rPr>
          <w:rFonts w:asciiTheme="majorBidi" w:hAnsiTheme="majorBidi" w:cstheme="majorBidi"/>
          <w:i/>
          <w:color w:val="000000" w:themeColor="text1"/>
          <w:sz w:val="24"/>
          <w:szCs w:val="24"/>
        </w:rPr>
        <w:t>et al.</w:t>
      </w:r>
      <w:r w:rsidR="00A74996" w:rsidRPr="00615171">
        <w:rPr>
          <w:rFonts w:asciiTheme="majorBidi" w:hAnsiTheme="majorBidi" w:cstheme="majorBidi"/>
          <w:color w:val="000000" w:themeColor="text1"/>
          <w:sz w:val="24"/>
          <w:szCs w:val="24"/>
        </w:rPr>
        <w:t>, 1992)</w:t>
      </w:r>
      <w:r w:rsidR="009F40AF" w:rsidRPr="00615171">
        <w:rPr>
          <w:rFonts w:asciiTheme="majorBidi" w:hAnsiTheme="majorBidi" w:cstheme="majorBidi"/>
          <w:color w:val="000000" w:themeColor="text1"/>
          <w:sz w:val="24"/>
          <w:szCs w:val="24"/>
        </w:rPr>
        <w:t>.</w:t>
      </w:r>
      <w:r w:rsidR="00F722AE" w:rsidRPr="00615171">
        <w:rPr>
          <w:rFonts w:asciiTheme="majorBidi" w:hAnsiTheme="majorBidi" w:cstheme="majorBidi"/>
          <w:color w:val="000000" w:themeColor="text1"/>
          <w:sz w:val="24"/>
          <w:szCs w:val="24"/>
        </w:rPr>
        <w:t xml:space="preserve"> </w:t>
      </w:r>
    </w:p>
    <w:p w14:paraId="0718A056" w14:textId="77777777" w:rsidR="0084053D" w:rsidRPr="00615171" w:rsidRDefault="0084053D" w:rsidP="00623739">
      <w:pPr>
        <w:spacing w:after="0" w:line="240" w:lineRule="auto"/>
        <w:ind w:firstLine="720"/>
        <w:jc w:val="both"/>
        <w:rPr>
          <w:rFonts w:asciiTheme="majorBidi" w:hAnsiTheme="majorBidi" w:cstheme="majorBidi"/>
          <w:color w:val="000000" w:themeColor="text1"/>
          <w:sz w:val="24"/>
          <w:szCs w:val="24"/>
        </w:rPr>
      </w:pPr>
    </w:p>
    <w:p w14:paraId="16F744DB" w14:textId="6886F1F8" w:rsidR="00F446A9" w:rsidRPr="00615171" w:rsidRDefault="002D2D5A" w:rsidP="00623739">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w:t>
      </w:r>
      <w:r w:rsidR="00EB1141" w:rsidRPr="00615171">
        <w:rPr>
          <w:rFonts w:asciiTheme="majorBidi" w:hAnsiTheme="majorBidi" w:cstheme="majorBidi"/>
          <w:color w:val="000000" w:themeColor="text1"/>
          <w:sz w:val="24"/>
          <w:szCs w:val="24"/>
        </w:rPr>
        <w:t>ubstantial inequaliti</w:t>
      </w:r>
      <w:r w:rsidRPr="00615171">
        <w:rPr>
          <w:rFonts w:asciiTheme="majorBidi" w:hAnsiTheme="majorBidi" w:cstheme="majorBidi"/>
          <w:color w:val="000000" w:themeColor="text1"/>
          <w:sz w:val="24"/>
          <w:szCs w:val="24"/>
        </w:rPr>
        <w:t>es in mortality and morbidity per</w:t>
      </w:r>
      <w:r w:rsidR="00FE4580" w:rsidRPr="00615171">
        <w:rPr>
          <w:rFonts w:asciiTheme="majorBidi" w:hAnsiTheme="majorBidi" w:cstheme="majorBidi"/>
          <w:color w:val="000000" w:themeColor="text1"/>
          <w:sz w:val="24"/>
          <w:szCs w:val="24"/>
        </w:rPr>
        <w:t xml:space="preserve">sist across different regions across </w:t>
      </w:r>
      <w:r w:rsidR="00EB1141" w:rsidRPr="00615171">
        <w:rPr>
          <w:rFonts w:asciiTheme="majorBidi" w:hAnsiTheme="majorBidi" w:cstheme="majorBidi"/>
          <w:color w:val="000000" w:themeColor="text1"/>
          <w:sz w:val="24"/>
          <w:szCs w:val="24"/>
        </w:rPr>
        <w:t xml:space="preserve">England (The Marmot Review, 2010). </w:t>
      </w:r>
      <w:r w:rsidR="00430E04" w:rsidRPr="00615171">
        <w:rPr>
          <w:rFonts w:asciiTheme="majorBidi" w:hAnsiTheme="majorBidi" w:cstheme="majorBidi"/>
          <w:color w:val="000000" w:themeColor="text1"/>
          <w:sz w:val="24"/>
          <w:szCs w:val="24"/>
        </w:rPr>
        <w:t>According to ONS (2009), p</w:t>
      </w:r>
      <w:r w:rsidR="00EB1141" w:rsidRPr="00615171">
        <w:rPr>
          <w:rFonts w:asciiTheme="majorBidi" w:hAnsiTheme="majorBidi" w:cstheme="majorBidi"/>
          <w:color w:val="000000" w:themeColor="text1"/>
          <w:sz w:val="24"/>
          <w:szCs w:val="24"/>
        </w:rPr>
        <w:t xml:space="preserve">eople living in the richest </w:t>
      </w:r>
      <w:r w:rsidR="00414DAE" w:rsidRPr="00615171">
        <w:rPr>
          <w:rFonts w:asciiTheme="majorBidi" w:hAnsiTheme="majorBidi" w:cstheme="majorBidi"/>
          <w:color w:val="000000" w:themeColor="text1"/>
          <w:sz w:val="24"/>
          <w:szCs w:val="24"/>
        </w:rPr>
        <w:t>neigbourhoods</w:t>
      </w:r>
      <w:r w:rsidR="00EB1141" w:rsidRPr="00615171">
        <w:rPr>
          <w:rFonts w:asciiTheme="majorBidi" w:hAnsiTheme="majorBidi" w:cstheme="majorBidi"/>
          <w:color w:val="000000" w:themeColor="text1"/>
          <w:sz w:val="24"/>
          <w:szCs w:val="24"/>
        </w:rPr>
        <w:t xml:space="preserve"> expect</w:t>
      </w:r>
      <w:r w:rsidR="00A25CEC" w:rsidRPr="00615171">
        <w:rPr>
          <w:rFonts w:asciiTheme="majorBidi" w:hAnsiTheme="majorBidi" w:cstheme="majorBidi"/>
          <w:color w:val="000000" w:themeColor="text1"/>
          <w:sz w:val="24"/>
          <w:szCs w:val="24"/>
        </w:rPr>
        <w:t>ed</w:t>
      </w:r>
      <w:r w:rsidR="00EB1141" w:rsidRPr="00615171">
        <w:rPr>
          <w:rFonts w:asciiTheme="majorBidi" w:hAnsiTheme="majorBidi" w:cstheme="majorBidi"/>
          <w:color w:val="000000" w:themeColor="text1"/>
          <w:sz w:val="24"/>
          <w:szCs w:val="24"/>
        </w:rPr>
        <w:t xml:space="preserve"> to live on average almost </w:t>
      </w:r>
      <w:r w:rsidR="006E29D1" w:rsidRPr="00615171">
        <w:rPr>
          <w:rFonts w:asciiTheme="majorBidi" w:hAnsiTheme="majorBidi" w:cstheme="majorBidi"/>
          <w:color w:val="000000" w:themeColor="text1"/>
          <w:sz w:val="24"/>
          <w:szCs w:val="24"/>
        </w:rPr>
        <w:t>nine more</w:t>
      </w:r>
      <w:r w:rsidR="00EB1141" w:rsidRPr="00615171">
        <w:rPr>
          <w:rFonts w:asciiTheme="majorBidi" w:hAnsiTheme="majorBidi" w:cstheme="majorBidi"/>
          <w:color w:val="000000" w:themeColor="text1"/>
          <w:sz w:val="24"/>
          <w:szCs w:val="24"/>
        </w:rPr>
        <w:t xml:space="preserve"> years than those</w:t>
      </w:r>
      <w:r w:rsidR="006E29D1" w:rsidRPr="00615171">
        <w:rPr>
          <w:rFonts w:asciiTheme="majorBidi" w:hAnsiTheme="majorBidi" w:cstheme="majorBidi"/>
          <w:color w:val="000000" w:themeColor="text1"/>
          <w:sz w:val="24"/>
          <w:szCs w:val="24"/>
        </w:rPr>
        <w:t xml:space="preserve"> </w:t>
      </w:r>
      <w:r w:rsidR="00EB1141" w:rsidRPr="00615171">
        <w:rPr>
          <w:rFonts w:asciiTheme="majorBidi" w:hAnsiTheme="majorBidi" w:cstheme="majorBidi"/>
          <w:color w:val="000000" w:themeColor="text1"/>
          <w:sz w:val="24"/>
          <w:szCs w:val="24"/>
        </w:rPr>
        <w:t>livi</w:t>
      </w:r>
      <w:r w:rsidR="004E6B0C" w:rsidRPr="00615171">
        <w:rPr>
          <w:rFonts w:asciiTheme="majorBidi" w:hAnsiTheme="majorBidi" w:cstheme="majorBidi"/>
          <w:color w:val="000000" w:themeColor="text1"/>
          <w:sz w:val="24"/>
          <w:szCs w:val="24"/>
        </w:rPr>
        <w:t xml:space="preserve">ng in the poorest </w:t>
      </w:r>
      <w:r w:rsidR="00414DAE" w:rsidRPr="00615171">
        <w:rPr>
          <w:rFonts w:asciiTheme="majorBidi" w:hAnsiTheme="majorBidi" w:cstheme="majorBidi"/>
          <w:color w:val="000000" w:themeColor="text1"/>
          <w:sz w:val="24"/>
          <w:szCs w:val="24"/>
        </w:rPr>
        <w:t>neigbourhoods</w:t>
      </w:r>
      <w:r w:rsidR="00EB1141" w:rsidRPr="00615171">
        <w:rPr>
          <w:rFonts w:asciiTheme="majorBidi" w:hAnsiTheme="majorBidi" w:cstheme="majorBidi"/>
          <w:color w:val="000000" w:themeColor="text1"/>
          <w:sz w:val="24"/>
          <w:szCs w:val="24"/>
        </w:rPr>
        <w:t xml:space="preserve">. The gap is steeper in the case of </w:t>
      </w:r>
      <w:r w:rsidR="00430E04" w:rsidRPr="00615171">
        <w:rPr>
          <w:rFonts w:asciiTheme="majorBidi" w:hAnsiTheme="majorBidi" w:cstheme="majorBidi"/>
          <w:color w:val="000000" w:themeColor="text1"/>
          <w:sz w:val="24"/>
          <w:szCs w:val="24"/>
        </w:rPr>
        <w:t xml:space="preserve">disability free </w:t>
      </w:r>
      <w:r w:rsidR="006E29D1" w:rsidRPr="00615171">
        <w:rPr>
          <w:rFonts w:asciiTheme="majorBidi" w:hAnsiTheme="majorBidi" w:cstheme="majorBidi"/>
          <w:color w:val="000000" w:themeColor="text1"/>
          <w:sz w:val="24"/>
          <w:szCs w:val="24"/>
        </w:rPr>
        <w:t>l</w:t>
      </w:r>
      <w:r w:rsidR="00EB1141" w:rsidRPr="00615171">
        <w:rPr>
          <w:rFonts w:asciiTheme="majorBidi" w:hAnsiTheme="majorBidi" w:cstheme="majorBidi"/>
          <w:color w:val="000000" w:themeColor="text1"/>
          <w:sz w:val="24"/>
          <w:szCs w:val="24"/>
        </w:rPr>
        <w:t>ife expectancy</w:t>
      </w:r>
      <w:r w:rsidR="00430E04" w:rsidRPr="00615171">
        <w:rPr>
          <w:rFonts w:asciiTheme="majorBidi" w:hAnsiTheme="majorBidi" w:cstheme="majorBidi"/>
          <w:color w:val="000000" w:themeColor="text1"/>
          <w:sz w:val="24"/>
          <w:szCs w:val="24"/>
        </w:rPr>
        <w:t xml:space="preserve"> free</w:t>
      </w:r>
      <w:r w:rsidR="006E29D1" w:rsidRPr="00615171">
        <w:rPr>
          <w:rFonts w:asciiTheme="majorBidi" w:hAnsiTheme="majorBidi" w:cstheme="majorBidi"/>
          <w:color w:val="000000" w:themeColor="text1"/>
          <w:sz w:val="24"/>
          <w:szCs w:val="24"/>
        </w:rPr>
        <w:t>. P</w:t>
      </w:r>
      <w:r w:rsidR="00EB1141" w:rsidRPr="00615171">
        <w:rPr>
          <w:rFonts w:asciiTheme="majorBidi" w:hAnsiTheme="majorBidi" w:cstheme="majorBidi"/>
          <w:color w:val="000000" w:themeColor="text1"/>
          <w:sz w:val="24"/>
          <w:szCs w:val="24"/>
        </w:rPr>
        <w:t xml:space="preserve">eople </w:t>
      </w:r>
      <w:r w:rsidR="006E29D1" w:rsidRPr="00615171">
        <w:rPr>
          <w:rFonts w:asciiTheme="majorBidi" w:hAnsiTheme="majorBidi" w:cstheme="majorBidi"/>
          <w:color w:val="000000" w:themeColor="text1"/>
          <w:sz w:val="24"/>
          <w:szCs w:val="24"/>
        </w:rPr>
        <w:t>living in the</w:t>
      </w:r>
      <w:r w:rsidR="00EB1141" w:rsidRPr="00615171">
        <w:rPr>
          <w:rFonts w:asciiTheme="majorBidi" w:hAnsiTheme="majorBidi" w:cstheme="majorBidi"/>
          <w:color w:val="000000" w:themeColor="text1"/>
          <w:sz w:val="24"/>
          <w:szCs w:val="24"/>
        </w:rPr>
        <w:t xml:space="preserve"> least deprived </w:t>
      </w:r>
      <w:r w:rsidR="00414DAE" w:rsidRPr="00615171">
        <w:rPr>
          <w:rFonts w:asciiTheme="majorBidi" w:hAnsiTheme="majorBidi" w:cstheme="majorBidi"/>
          <w:color w:val="000000" w:themeColor="text1"/>
          <w:sz w:val="24"/>
          <w:szCs w:val="24"/>
        </w:rPr>
        <w:t>neigbourhoods</w:t>
      </w:r>
      <w:r w:rsidR="00EB1141" w:rsidRPr="00615171">
        <w:rPr>
          <w:rFonts w:asciiTheme="majorBidi" w:hAnsiTheme="majorBidi" w:cstheme="majorBidi"/>
          <w:color w:val="000000" w:themeColor="text1"/>
          <w:sz w:val="24"/>
          <w:szCs w:val="24"/>
        </w:rPr>
        <w:t xml:space="preserve"> expect</w:t>
      </w:r>
      <w:r w:rsidR="006E29D1" w:rsidRPr="00615171">
        <w:rPr>
          <w:rFonts w:asciiTheme="majorBidi" w:hAnsiTheme="majorBidi" w:cstheme="majorBidi"/>
          <w:color w:val="000000" w:themeColor="text1"/>
          <w:sz w:val="24"/>
          <w:szCs w:val="24"/>
        </w:rPr>
        <w:t>ed</w:t>
      </w:r>
      <w:r w:rsidR="00EB1141" w:rsidRPr="00615171">
        <w:rPr>
          <w:rFonts w:asciiTheme="majorBidi" w:hAnsiTheme="majorBidi" w:cstheme="majorBidi"/>
          <w:color w:val="000000" w:themeColor="text1"/>
          <w:sz w:val="24"/>
          <w:szCs w:val="24"/>
        </w:rPr>
        <w:t xml:space="preserve"> to experience 17 more</w:t>
      </w:r>
      <w:r w:rsidR="006E29D1" w:rsidRPr="00615171">
        <w:rPr>
          <w:rFonts w:asciiTheme="majorBidi" w:hAnsiTheme="majorBidi" w:cstheme="majorBidi"/>
          <w:color w:val="000000" w:themeColor="text1"/>
          <w:sz w:val="24"/>
          <w:szCs w:val="24"/>
        </w:rPr>
        <w:t xml:space="preserve"> years of</w:t>
      </w:r>
      <w:r w:rsidR="00EB1141" w:rsidRPr="00615171">
        <w:rPr>
          <w:rFonts w:asciiTheme="majorBidi" w:hAnsiTheme="majorBidi" w:cstheme="majorBidi"/>
          <w:color w:val="000000" w:themeColor="text1"/>
          <w:sz w:val="24"/>
          <w:szCs w:val="24"/>
        </w:rPr>
        <w:t xml:space="preserve"> disability free life</w:t>
      </w:r>
      <w:r w:rsidR="006E29D1" w:rsidRPr="00615171">
        <w:rPr>
          <w:rFonts w:asciiTheme="majorBidi" w:hAnsiTheme="majorBidi" w:cstheme="majorBidi"/>
          <w:color w:val="000000" w:themeColor="text1"/>
          <w:sz w:val="24"/>
          <w:szCs w:val="24"/>
        </w:rPr>
        <w:t xml:space="preserve"> on average</w:t>
      </w:r>
      <w:r w:rsidR="00A25CEC" w:rsidRPr="00615171">
        <w:rPr>
          <w:rFonts w:asciiTheme="majorBidi" w:hAnsiTheme="majorBidi" w:cstheme="majorBidi"/>
          <w:color w:val="000000" w:themeColor="text1"/>
          <w:sz w:val="24"/>
          <w:szCs w:val="24"/>
        </w:rPr>
        <w:t>,</w:t>
      </w:r>
      <w:r w:rsidR="00EB1141" w:rsidRPr="00615171">
        <w:rPr>
          <w:rFonts w:asciiTheme="majorBidi" w:hAnsiTheme="majorBidi" w:cstheme="majorBidi"/>
          <w:color w:val="000000" w:themeColor="text1"/>
          <w:sz w:val="24"/>
          <w:szCs w:val="24"/>
        </w:rPr>
        <w:t xml:space="preserve"> </w:t>
      </w:r>
      <w:r w:rsidR="006E29D1" w:rsidRPr="00615171">
        <w:rPr>
          <w:rFonts w:asciiTheme="majorBidi" w:hAnsiTheme="majorBidi" w:cstheme="majorBidi"/>
          <w:color w:val="000000" w:themeColor="text1"/>
          <w:sz w:val="24"/>
          <w:szCs w:val="24"/>
        </w:rPr>
        <w:t>compared</w:t>
      </w:r>
      <w:r w:rsidR="00EB1141" w:rsidRPr="00615171">
        <w:rPr>
          <w:rFonts w:asciiTheme="majorBidi" w:hAnsiTheme="majorBidi" w:cstheme="majorBidi"/>
          <w:color w:val="000000" w:themeColor="text1"/>
          <w:sz w:val="24"/>
          <w:szCs w:val="24"/>
        </w:rPr>
        <w:t xml:space="preserve"> </w:t>
      </w:r>
      <w:r w:rsidR="00A25CEC" w:rsidRPr="00615171">
        <w:rPr>
          <w:rFonts w:asciiTheme="majorBidi" w:hAnsiTheme="majorBidi" w:cstheme="majorBidi"/>
          <w:color w:val="000000" w:themeColor="text1"/>
          <w:sz w:val="24"/>
          <w:szCs w:val="24"/>
        </w:rPr>
        <w:t xml:space="preserve">to </w:t>
      </w:r>
      <w:r w:rsidR="00EB1141" w:rsidRPr="00615171">
        <w:rPr>
          <w:rFonts w:asciiTheme="majorBidi" w:hAnsiTheme="majorBidi" w:cstheme="majorBidi"/>
          <w:color w:val="000000" w:themeColor="text1"/>
          <w:sz w:val="24"/>
          <w:szCs w:val="24"/>
        </w:rPr>
        <w:t>people</w:t>
      </w:r>
      <w:r w:rsidR="006E29D1" w:rsidRPr="00615171">
        <w:rPr>
          <w:rFonts w:asciiTheme="majorBidi" w:hAnsiTheme="majorBidi" w:cstheme="majorBidi"/>
          <w:color w:val="000000" w:themeColor="text1"/>
          <w:sz w:val="24"/>
          <w:szCs w:val="24"/>
        </w:rPr>
        <w:t xml:space="preserve"> living</w:t>
      </w:r>
      <w:r w:rsidR="00EB1141" w:rsidRPr="00615171">
        <w:rPr>
          <w:rFonts w:asciiTheme="majorBidi" w:hAnsiTheme="majorBidi" w:cstheme="majorBidi"/>
          <w:color w:val="000000" w:themeColor="text1"/>
          <w:sz w:val="24"/>
          <w:szCs w:val="24"/>
        </w:rPr>
        <w:t xml:space="preserve"> </w:t>
      </w:r>
      <w:r w:rsidR="006E29D1" w:rsidRPr="00615171">
        <w:rPr>
          <w:rFonts w:asciiTheme="majorBidi" w:hAnsiTheme="majorBidi" w:cstheme="majorBidi"/>
          <w:color w:val="000000" w:themeColor="text1"/>
          <w:sz w:val="24"/>
          <w:szCs w:val="24"/>
        </w:rPr>
        <w:t>in the</w:t>
      </w:r>
      <w:r w:rsidR="00EB1141" w:rsidRPr="00615171">
        <w:rPr>
          <w:rFonts w:asciiTheme="majorBidi" w:hAnsiTheme="majorBidi" w:cstheme="majorBidi"/>
          <w:color w:val="000000" w:themeColor="text1"/>
          <w:sz w:val="24"/>
          <w:szCs w:val="24"/>
        </w:rPr>
        <w:t xml:space="preserve"> most deprived neigbourhood</w:t>
      </w:r>
      <w:r w:rsidR="006E29D1" w:rsidRPr="00615171">
        <w:rPr>
          <w:rFonts w:asciiTheme="majorBidi" w:hAnsiTheme="majorBidi" w:cstheme="majorBidi"/>
          <w:color w:val="000000" w:themeColor="text1"/>
          <w:sz w:val="24"/>
          <w:szCs w:val="24"/>
        </w:rPr>
        <w:t>s</w:t>
      </w:r>
      <w:r w:rsidR="004E6B0C" w:rsidRPr="00615171">
        <w:rPr>
          <w:rFonts w:asciiTheme="majorBidi" w:hAnsiTheme="majorBidi" w:cstheme="majorBidi"/>
          <w:color w:val="000000" w:themeColor="text1"/>
          <w:sz w:val="24"/>
          <w:szCs w:val="24"/>
        </w:rPr>
        <w:t>.</w:t>
      </w:r>
      <w:r w:rsidR="00EB1141" w:rsidRPr="00615171">
        <w:rPr>
          <w:rFonts w:asciiTheme="majorBidi" w:hAnsiTheme="majorBidi" w:cstheme="majorBidi"/>
          <w:color w:val="000000" w:themeColor="text1"/>
          <w:sz w:val="24"/>
          <w:szCs w:val="24"/>
        </w:rPr>
        <w:t xml:space="preserve"> This </w:t>
      </w:r>
      <w:r w:rsidR="006E29D1" w:rsidRPr="00615171">
        <w:rPr>
          <w:rFonts w:asciiTheme="majorBidi" w:hAnsiTheme="majorBidi" w:cstheme="majorBidi"/>
          <w:color w:val="000000" w:themeColor="text1"/>
          <w:sz w:val="24"/>
          <w:szCs w:val="24"/>
        </w:rPr>
        <w:t>i</w:t>
      </w:r>
      <w:r w:rsidR="00EB1141" w:rsidRPr="00615171">
        <w:rPr>
          <w:rFonts w:asciiTheme="majorBidi" w:hAnsiTheme="majorBidi" w:cstheme="majorBidi"/>
          <w:color w:val="000000" w:themeColor="text1"/>
          <w:sz w:val="24"/>
          <w:szCs w:val="24"/>
        </w:rPr>
        <w:t xml:space="preserve">ndicates that </w:t>
      </w:r>
      <w:r w:rsidR="006E29D1" w:rsidRPr="00615171">
        <w:rPr>
          <w:rFonts w:asciiTheme="majorBidi" w:hAnsiTheme="majorBidi" w:cstheme="majorBidi"/>
          <w:color w:val="000000" w:themeColor="text1"/>
          <w:sz w:val="24"/>
          <w:szCs w:val="24"/>
        </w:rPr>
        <w:t>those in the</w:t>
      </w:r>
      <w:r w:rsidR="00EB1141" w:rsidRPr="00615171">
        <w:rPr>
          <w:rFonts w:asciiTheme="majorBidi" w:hAnsiTheme="majorBidi" w:cstheme="majorBidi"/>
          <w:color w:val="000000" w:themeColor="text1"/>
          <w:sz w:val="24"/>
          <w:szCs w:val="24"/>
        </w:rPr>
        <w:t xml:space="preserve"> most deprived </w:t>
      </w:r>
      <w:proofErr w:type="spellStart"/>
      <w:r w:rsidR="00EB1141" w:rsidRPr="00615171">
        <w:rPr>
          <w:rFonts w:asciiTheme="majorBidi" w:hAnsiTheme="majorBidi" w:cstheme="majorBidi"/>
          <w:color w:val="000000" w:themeColor="text1"/>
          <w:sz w:val="24"/>
          <w:szCs w:val="24"/>
        </w:rPr>
        <w:t>neighbourhood</w:t>
      </w:r>
      <w:r w:rsidR="006E29D1" w:rsidRPr="00615171">
        <w:rPr>
          <w:rFonts w:asciiTheme="majorBidi" w:hAnsiTheme="majorBidi" w:cstheme="majorBidi"/>
          <w:color w:val="000000" w:themeColor="text1"/>
          <w:sz w:val="24"/>
          <w:szCs w:val="24"/>
        </w:rPr>
        <w:t>s</w:t>
      </w:r>
      <w:proofErr w:type="spellEnd"/>
      <w:r w:rsidR="00EB1141" w:rsidRPr="00615171">
        <w:rPr>
          <w:rFonts w:asciiTheme="majorBidi" w:hAnsiTheme="majorBidi" w:cstheme="majorBidi"/>
          <w:color w:val="000000" w:themeColor="text1"/>
          <w:sz w:val="24"/>
          <w:szCs w:val="24"/>
        </w:rPr>
        <w:t xml:space="preserve"> not only live </w:t>
      </w:r>
      <w:r w:rsidR="006E29D1" w:rsidRPr="00615171">
        <w:rPr>
          <w:rFonts w:asciiTheme="majorBidi" w:hAnsiTheme="majorBidi" w:cstheme="majorBidi"/>
          <w:color w:val="000000" w:themeColor="text1"/>
          <w:sz w:val="24"/>
          <w:szCs w:val="24"/>
        </w:rPr>
        <w:t xml:space="preserve">for a </w:t>
      </w:r>
      <w:r w:rsidR="00EB1141" w:rsidRPr="00615171">
        <w:rPr>
          <w:rFonts w:asciiTheme="majorBidi" w:hAnsiTheme="majorBidi" w:cstheme="majorBidi"/>
          <w:color w:val="000000" w:themeColor="text1"/>
          <w:sz w:val="24"/>
          <w:szCs w:val="24"/>
        </w:rPr>
        <w:t>shorter</w:t>
      </w:r>
      <w:r w:rsidR="006E29D1" w:rsidRPr="00615171">
        <w:rPr>
          <w:rFonts w:asciiTheme="majorBidi" w:hAnsiTheme="majorBidi" w:cstheme="majorBidi"/>
          <w:color w:val="000000" w:themeColor="text1"/>
          <w:sz w:val="24"/>
          <w:szCs w:val="24"/>
        </w:rPr>
        <w:t xml:space="preserve"> time</w:t>
      </w:r>
      <w:r w:rsidR="002C23E2" w:rsidRPr="00615171">
        <w:rPr>
          <w:rFonts w:asciiTheme="majorBidi" w:hAnsiTheme="majorBidi" w:cstheme="majorBidi"/>
          <w:color w:val="000000" w:themeColor="text1"/>
          <w:sz w:val="24"/>
          <w:szCs w:val="24"/>
        </w:rPr>
        <w:t>s</w:t>
      </w:r>
      <w:r w:rsidR="00EB1141" w:rsidRPr="00615171">
        <w:rPr>
          <w:rFonts w:asciiTheme="majorBidi" w:hAnsiTheme="majorBidi" w:cstheme="majorBidi"/>
          <w:color w:val="000000" w:themeColor="text1"/>
          <w:sz w:val="24"/>
          <w:szCs w:val="24"/>
        </w:rPr>
        <w:t xml:space="preserve"> but also experience more disability in th</w:t>
      </w:r>
      <w:r w:rsidR="006E29D1" w:rsidRPr="00615171">
        <w:rPr>
          <w:rFonts w:asciiTheme="majorBidi" w:hAnsiTheme="majorBidi" w:cstheme="majorBidi"/>
          <w:color w:val="000000" w:themeColor="text1"/>
          <w:sz w:val="24"/>
          <w:szCs w:val="24"/>
        </w:rPr>
        <w:t>at</w:t>
      </w:r>
      <w:r w:rsidR="00EB1141" w:rsidRPr="00615171">
        <w:rPr>
          <w:rFonts w:asciiTheme="majorBidi" w:hAnsiTheme="majorBidi" w:cstheme="majorBidi"/>
          <w:color w:val="000000" w:themeColor="text1"/>
          <w:sz w:val="24"/>
          <w:szCs w:val="24"/>
        </w:rPr>
        <w:t xml:space="preserve"> shorter life </w:t>
      </w:r>
      <w:r w:rsidR="00A25CEC" w:rsidRPr="00615171">
        <w:rPr>
          <w:rFonts w:asciiTheme="majorBidi" w:hAnsiTheme="majorBidi" w:cstheme="majorBidi"/>
          <w:color w:val="000000" w:themeColor="text1"/>
          <w:sz w:val="24"/>
          <w:szCs w:val="24"/>
        </w:rPr>
        <w:t>than</w:t>
      </w:r>
      <w:r w:rsidR="00EB1141" w:rsidRPr="00615171">
        <w:rPr>
          <w:rFonts w:asciiTheme="majorBidi" w:hAnsiTheme="majorBidi" w:cstheme="majorBidi"/>
          <w:color w:val="000000" w:themeColor="text1"/>
          <w:sz w:val="24"/>
          <w:szCs w:val="24"/>
        </w:rPr>
        <w:t xml:space="preserve"> those</w:t>
      </w:r>
      <w:r w:rsidR="00882814" w:rsidRPr="00615171">
        <w:rPr>
          <w:rFonts w:asciiTheme="majorBidi" w:hAnsiTheme="majorBidi" w:cstheme="majorBidi"/>
          <w:color w:val="000000" w:themeColor="text1"/>
          <w:sz w:val="24"/>
          <w:szCs w:val="24"/>
        </w:rPr>
        <w:t xml:space="preserve"> living</w:t>
      </w:r>
      <w:r w:rsidR="00EB1141" w:rsidRPr="00615171">
        <w:rPr>
          <w:rFonts w:asciiTheme="majorBidi" w:hAnsiTheme="majorBidi" w:cstheme="majorBidi"/>
          <w:color w:val="000000" w:themeColor="text1"/>
          <w:sz w:val="24"/>
          <w:szCs w:val="24"/>
        </w:rPr>
        <w:t xml:space="preserve"> </w:t>
      </w:r>
      <w:r w:rsidR="006E29D1" w:rsidRPr="00615171">
        <w:rPr>
          <w:rFonts w:asciiTheme="majorBidi" w:hAnsiTheme="majorBidi" w:cstheme="majorBidi"/>
          <w:color w:val="000000" w:themeColor="text1"/>
          <w:sz w:val="24"/>
          <w:szCs w:val="24"/>
        </w:rPr>
        <w:t>in the</w:t>
      </w:r>
      <w:r w:rsidR="00EB1141" w:rsidRPr="00615171">
        <w:rPr>
          <w:rFonts w:asciiTheme="majorBidi" w:hAnsiTheme="majorBidi" w:cstheme="majorBidi"/>
          <w:color w:val="000000" w:themeColor="text1"/>
          <w:sz w:val="24"/>
          <w:szCs w:val="24"/>
        </w:rPr>
        <w:t xml:space="preserve"> least deprived </w:t>
      </w:r>
      <w:proofErr w:type="spellStart"/>
      <w:r w:rsidR="00EB1141" w:rsidRPr="00615171">
        <w:rPr>
          <w:rFonts w:asciiTheme="majorBidi" w:hAnsiTheme="majorBidi" w:cstheme="majorBidi"/>
          <w:color w:val="000000" w:themeColor="text1"/>
          <w:sz w:val="24"/>
          <w:szCs w:val="24"/>
        </w:rPr>
        <w:t>neighbourhood</w:t>
      </w:r>
      <w:r w:rsidR="006E29D1" w:rsidRPr="00615171">
        <w:rPr>
          <w:rFonts w:asciiTheme="majorBidi" w:hAnsiTheme="majorBidi" w:cstheme="majorBidi"/>
          <w:color w:val="000000" w:themeColor="text1"/>
          <w:sz w:val="24"/>
          <w:szCs w:val="24"/>
        </w:rPr>
        <w:t>s</w:t>
      </w:r>
      <w:proofErr w:type="spellEnd"/>
      <w:r w:rsidR="00EB1141" w:rsidRPr="00615171">
        <w:rPr>
          <w:rFonts w:asciiTheme="majorBidi" w:hAnsiTheme="majorBidi" w:cstheme="majorBidi"/>
          <w:color w:val="000000" w:themeColor="text1"/>
          <w:sz w:val="24"/>
          <w:szCs w:val="24"/>
        </w:rPr>
        <w:t>. Initiatives targeting the most deprived region</w:t>
      </w:r>
      <w:r w:rsidR="00A25CEC" w:rsidRPr="00615171">
        <w:rPr>
          <w:rFonts w:asciiTheme="majorBidi" w:hAnsiTheme="majorBidi" w:cstheme="majorBidi"/>
          <w:color w:val="000000" w:themeColor="text1"/>
          <w:sz w:val="24"/>
          <w:szCs w:val="24"/>
        </w:rPr>
        <w:t>s</w:t>
      </w:r>
      <w:r w:rsidR="00EB1141" w:rsidRPr="00615171">
        <w:rPr>
          <w:rFonts w:asciiTheme="majorBidi" w:hAnsiTheme="majorBidi" w:cstheme="majorBidi"/>
          <w:color w:val="000000" w:themeColor="text1"/>
          <w:sz w:val="24"/>
          <w:szCs w:val="24"/>
        </w:rPr>
        <w:t xml:space="preserve">, </w:t>
      </w:r>
      <w:r w:rsidR="00A25CEC" w:rsidRPr="00615171">
        <w:rPr>
          <w:rFonts w:asciiTheme="majorBidi" w:hAnsiTheme="majorBidi" w:cstheme="majorBidi"/>
          <w:color w:val="000000" w:themeColor="text1"/>
          <w:sz w:val="24"/>
          <w:szCs w:val="24"/>
        </w:rPr>
        <w:t>such as</w:t>
      </w:r>
      <w:r w:rsidR="00EB1141" w:rsidRPr="00615171">
        <w:rPr>
          <w:rFonts w:asciiTheme="majorBidi" w:hAnsiTheme="majorBidi" w:cstheme="majorBidi"/>
          <w:color w:val="000000" w:themeColor="text1"/>
          <w:sz w:val="24"/>
          <w:szCs w:val="24"/>
        </w:rPr>
        <w:t xml:space="preserve"> redistribution of wealth</w:t>
      </w:r>
      <w:r w:rsidR="00A25CEC" w:rsidRPr="00615171">
        <w:rPr>
          <w:rFonts w:asciiTheme="majorBidi" w:hAnsiTheme="majorBidi" w:cstheme="majorBidi"/>
          <w:color w:val="000000" w:themeColor="text1"/>
          <w:sz w:val="24"/>
          <w:szCs w:val="24"/>
        </w:rPr>
        <w:t>;</w:t>
      </w:r>
      <w:r w:rsidR="00EB1141" w:rsidRPr="00615171">
        <w:rPr>
          <w:rFonts w:asciiTheme="majorBidi" w:hAnsiTheme="majorBidi" w:cstheme="majorBidi"/>
          <w:color w:val="000000" w:themeColor="text1"/>
          <w:sz w:val="24"/>
          <w:szCs w:val="24"/>
        </w:rPr>
        <w:t xml:space="preserve"> healthcare</w:t>
      </w:r>
      <w:r w:rsidR="00A25CEC" w:rsidRPr="00615171">
        <w:rPr>
          <w:rFonts w:asciiTheme="majorBidi" w:hAnsiTheme="majorBidi" w:cstheme="majorBidi"/>
          <w:color w:val="000000" w:themeColor="text1"/>
          <w:sz w:val="24"/>
          <w:szCs w:val="24"/>
        </w:rPr>
        <w:t xml:space="preserve"> and educational</w:t>
      </w:r>
      <w:r w:rsidR="00EB1141" w:rsidRPr="00615171">
        <w:rPr>
          <w:rFonts w:asciiTheme="majorBidi" w:hAnsiTheme="majorBidi" w:cstheme="majorBidi"/>
          <w:color w:val="000000" w:themeColor="text1"/>
          <w:sz w:val="24"/>
          <w:szCs w:val="24"/>
        </w:rPr>
        <w:t xml:space="preserve"> facilities</w:t>
      </w:r>
      <w:r w:rsidR="00A25CEC" w:rsidRPr="00615171">
        <w:rPr>
          <w:rFonts w:asciiTheme="majorBidi" w:hAnsiTheme="majorBidi" w:cstheme="majorBidi"/>
          <w:color w:val="000000" w:themeColor="text1"/>
          <w:sz w:val="24"/>
          <w:szCs w:val="24"/>
        </w:rPr>
        <w:t xml:space="preserve">; </w:t>
      </w:r>
      <w:r w:rsidR="00EB1141" w:rsidRPr="00615171">
        <w:rPr>
          <w:rFonts w:asciiTheme="majorBidi" w:hAnsiTheme="majorBidi" w:cstheme="majorBidi"/>
          <w:color w:val="000000" w:themeColor="text1"/>
          <w:sz w:val="24"/>
          <w:szCs w:val="24"/>
        </w:rPr>
        <w:t>improv</w:t>
      </w:r>
      <w:r w:rsidR="00A25CEC" w:rsidRPr="00615171">
        <w:rPr>
          <w:rFonts w:asciiTheme="majorBidi" w:hAnsiTheme="majorBidi" w:cstheme="majorBidi"/>
          <w:color w:val="000000" w:themeColor="text1"/>
          <w:sz w:val="24"/>
          <w:szCs w:val="24"/>
        </w:rPr>
        <w:t>ed</w:t>
      </w:r>
      <w:r w:rsidR="00EB1141" w:rsidRPr="00615171">
        <w:rPr>
          <w:rFonts w:asciiTheme="majorBidi" w:hAnsiTheme="majorBidi" w:cstheme="majorBidi"/>
          <w:color w:val="000000" w:themeColor="text1"/>
          <w:sz w:val="24"/>
          <w:szCs w:val="24"/>
        </w:rPr>
        <w:t xml:space="preserve"> living </w:t>
      </w:r>
      <w:r w:rsidR="00A25CEC" w:rsidRPr="00615171">
        <w:rPr>
          <w:rFonts w:asciiTheme="majorBidi" w:hAnsiTheme="majorBidi" w:cstheme="majorBidi"/>
          <w:color w:val="000000" w:themeColor="text1"/>
          <w:sz w:val="24"/>
          <w:szCs w:val="24"/>
        </w:rPr>
        <w:t xml:space="preserve">environment </w:t>
      </w:r>
      <w:r w:rsidR="00EB1141" w:rsidRPr="00615171">
        <w:rPr>
          <w:rFonts w:asciiTheme="majorBidi" w:hAnsiTheme="majorBidi" w:cstheme="majorBidi"/>
          <w:color w:val="000000" w:themeColor="text1"/>
          <w:sz w:val="24"/>
          <w:szCs w:val="24"/>
        </w:rPr>
        <w:t xml:space="preserve">and food </w:t>
      </w:r>
      <w:r w:rsidR="00A25CEC" w:rsidRPr="00615171">
        <w:rPr>
          <w:rFonts w:asciiTheme="majorBidi" w:hAnsiTheme="majorBidi" w:cstheme="majorBidi"/>
          <w:color w:val="000000" w:themeColor="text1"/>
          <w:sz w:val="24"/>
          <w:szCs w:val="24"/>
        </w:rPr>
        <w:t>quality</w:t>
      </w:r>
      <w:r w:rsidR="00882814" w:rsidRPr="00615171">
        <w:rPr>
          <w:rFonts w:asciiTheme="majorBidi" w:hAnsiTheme="majorBidi" w:cstheme="majorBidi"/>
          <w:color w:val="000000" w:themeColor="text1"/>
          <w:sz w:val="24"/>
          <w:szCs w:val="24"/>
        </w:rPr>
        <w:t xml:space="preserve"> and</w:t>
      </w:r>
      <w:r w:rsidR="00EB1141" w:rsidRPr="00615171">
        <w:rPr>
          <w:rFonts w:asciiTheme="majorBidi" w:hAnsiTheme="majorBidi" w:cstheme="majorBidi"/>
          <w:color w:val="000000" w:themeColor="text1"/>
          <w:sz w:val="24"/>
          <w:szCs w:val="24"/>
        </w:rPr>
        <w:t xml:space="preserve"> reduction </w:t>
      </w:r>
      <w:r w:rsidR="00882814" w:rsidRPr="00615171">
        <w:rPr>
          <w:rFonts w:asciiTheme="majorBidi" w:hAnsiTheme="majorBidi" w:cstheme="majorBidi"/>
          <w:color w:val="000000" w:themeColor="text1"/>
          <w:sz w:val="24"/>
          <w:szCs w:val="24"/>
        </w:rPr>
        <w:t>in</w:t>
      </w:r>
      <w:r w:rsidR="00EB1141" w:rsidRPr="00615171">
        <w:rPr>
          <w:rFonts w:asciiTheme="majorBidi" w:hAnsiTheme="majorBidi" w:cstheme="majorBidi"/>
          <w:color w:val="000000" w:themeColor="text1"/>
          <w:sz w:val="24"/>
          <w:szCs w:val="24"/>
        </w:rPr>
        <w:t xml:space="preserve"> fuel poverty can</w:t>
      </w:r>
      <w:r w:rsidR="00882814" w:rsidRPr="00615171">
        <w:rPr>
          <w:rFonts w:asciiTheme="majorBidi" w:hAnsiTheme="majorBidi" w:cstheme="majorBidi"/>
          <w:color w:val="000000" w:themeColor="text1"/>
          <w:sz w:val="24"/>
          <w:szCs w:val="24"/>
        </w:rPr>
        <w:t xml:space="preserve"> all</w:t>
      </w:r>
      <w:r w:rsidR="00EB1141" w:rsidRPr="00615171">
        <w:rPr>
          <w:rFonts w:asciiTheme="majorBidi" w:hAnsiTheme="majorBidi" w:cstheme="majorBidi"/>
          <w:color w:val="000000" w:themeColor="text1"/>
          <w:sz w:val="24"/>
          <w:szCs w:val="24"/>
        </w:rPr>
        <w:t xml:space="preserve"> </w:t>
      </w:r>
      <w:r w:rsidR="0047535A" w:rsidRPr="00615171">
        <w:rPr>
          <w:rFonts w:asciiTheme="majorBidi" w:hAnsiTheme="majorBidi" w:cstheme="majorBidi"/>
          <w:color w:val="000000" w:themeColor="text1"/>
          <w:sz w:val="24"/>
          <w:szCs w:val="24"/>
        </w:rPr>
        <w:t>minimis</w:t>
      </w:r>
      <w:r w:rsidR="009D4151" w:rsidRPr="00615171">
        <w:rPr>
          <w:rFonts w:asciiTheme="majorBidi" w:hAnsiTheme="majorBidi" w:cstheme="majorBidi"/>
          <w:color w:val="000000" w:themeColor="text1"/>
          <w:sz w:val="24"/>
          <w:szCs w:val="24"/>
        </w:rPr>
        <w:t>e such</w:t>
      </w:r>
      <w:r w:rsidR="00EB1141" w:rsidRPr="00615171">
        <w:rPr>
          <w:rFonts w:asciiTheme="majorBidi" w:hAnsiTheme="majorBidi" w:cstheme="majorBidi"/>
          <w:color w:val="000000" w:themeColor="text1"/>
          <w:sz w:val="24"/>
          <w:szCs w:val="24"/>
        </w:rPr>
        <w:t xml:space="preserve"> inequalities in health. </w:t>
      </w:r>
    </w:p>
    <w:p w14:paraId="0F37AE3A" w14:textId="77777777" w:rsidR="00F446A9" w:rsidRPr="00615171" w:rsidRDefault="00F446A9" w:rsidP="00623739">
      <w:pPr>
        <w:spacing w:after="0" w:line="240" w:lineRule="auto"/>
        <w:ind w:firstLine="720"/>
        <w:jc w:val="both"/>
        <w:rPr>
          <w:rFonts w:asciiTheme="majorBidi" w:hAnsiTheme="majorBidi" w:cstheme="majorBidi"/>
          <w:color w:val="000000" w:themeColor="text1"/>
          <w:sz w:val="24"/>
          <w:szCs w:val="24"/>
        </w:rPr>
      </w:pPr>
    </w:p>
    <w:p w14:paraId="688FE83F" w14:textId="77777777" w:rsidR="00EB1141" w:rsidRPr="00615171" w:rsidRDefault="00EB1141" w:rsidP="00623739">
      <w:pPr>
        <w:spacing w:after="0" w:line="240" w:lineRule="auto"/>
        <w:jc w:val="both"/>
        <w:rPr>
          <w:rFonts w:asciiTheme="majorBidi" w:hAnsiTheme="majorBidi" w:cstheme="majorBidi"/>
          <w:b/>
          <w:color w:val="000000" w:themeColor="text1"/>
          <w:sz w:val="24"/>
          <w:szCs w:val="24"/>
        </w:rPr>
      </w:pPr>
    </w:p>
    <w:p w14:paraId="73CDAAED" w14:textId="2CD62B53" w:rsidR="00252662" w:rsidRPr="00615171" w:rsidRDefault="00466BBE" w:rsidP="0047535A">
      <w:pPr>
        <w:spacing w:after="0" w:line="240" w:lineRule="auto"/>
        <w:jc w:val="center"/>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t>CONCLUSIONS</w:t>
      </w:r>
      <w:r w:rsidR="000103E3" w:rsidRPr="00615171">
        <w:rPr>
          <w:rFonts w:asciiTheme="majorBidi" w:hAnsiTheme="majorBidi" w:cstheme="majorBidi"/>
          <w:b/>
          <w:color w:val="000000" w:themeColor="text1"/>
          <w:sz w:val="24"/>
          <w:szCs w:val="24"/>
        </w:rPr>
        <w:t xml:space="preserve"> AND RECOMMENDATIONS</w:t>
      </w:r>
    </w:p>
    <w:p w14:paraId="34233179" w14:textId="77777777" w:rsidR="004E6B0C" w:rsidRPr="00615171" w:rsidRDefault="004E6B0C" w:rsidP="00623739">
      <w:pPr>
        <w:spacing w:after="0" w:line="240" w:lineRule="auto"/>
        <w:jc w:val="both"/>
        <w:rPr>
          <w:rFonts w:asciiTheme="majorBidi" w:hAnsiTheme="majorBidi" w:cstheme="majorBidi"/>
          <w:color w:val="000000" w:themeColor="text1"/>
          <w:sz w:val="24"/>
          <w:szCs w:val="24"/>
        </w:rPr>
      </w:pPr>
    </w:p>
    <w:p w14:paraId="4B66C1F0" w14:textId="25637300" w:rsidR="00EF7496" w:rsidRPr="00615171" w:rsidRDefault="00F54871" w:rsidP="008429F0">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T</w:t>
      </w:r>
      <w:r w:rsidR="004E6B0C" w:rsidRPr="00615171">
        <w:rPr>
          <w:rFonts w:asciiTheme="majorBidi" w:hAnsiTheme="majorBidi" w:cstheme="majorBidi"/>
          <w:color w:val="000000" w:themeColor="text1"/>
          <w:sz w:val="24"/>
          <w:szCs w:val="24"/>
        </w:rPr>
        <w:t>h</w:t>
      </w:r>
      <w:r w:rsidRPr="00615171">
        <w:rPr>
          <w:rFonts w:asciiTheme="majorBidi" w:hAnsiTheme="majorBidi" w:cstheme="majorBidi"/>
          <w:color w:val="000000" w:themeColor="text1"/>
          <w:sz w:val="24"/>
          <w:szCs w:val="24"/>
        </w:rPr>
        <w:t>is</w:t>
      </w:r>
      <w:r w:rsidR="004E6B0C" w:rsidRPr="00615171">
        <w:rPr>
          <w:rFonts w:asciiTheme="majorBidi" w:hAnsiTheme="majorBidi" w:cstheme="majorBidi"/>
          <w:color w:val="000000" w:themeColor="text1"/>
          <w:sz w:val="24"/>
          <w:szCs w:val="24"/>
        </w:rPr>
        <w:t xml:space="preserve"> </w:t>
      </w:r>
      <w:r w:rsidR="00B759A4" w:rsidRPr="00615171">
        <w:rPr>
          <w:rFonts w:asciiTheme="majorBidi" w:hAnsiTheme="majorBidi" w:cstheme="majorBidi"/>
          <w:color w:val="000000" w:themeColor="text1"/>
          <w:sz w:val="24"/>
          <w:szCs w:val="24"/>
        </w:rPr>
        <w:t>study</w:t>
      </w:r>
      <w:r w:rsidR="0028365E" w:rsidRPr="00615171">
        <w:rPr>
          <w:rFonts w:asciiTheme="majorBidi" w:hAnsiTheme="majorBidi" w:cstheme="majorBidi"/>
          <w:color w:val="000000" w:themeColor="text1"/>
          <w:sz w:val="24"/>
          <w:szCs w:val="24"/>
        </w:rPr>
        <w:t xml:space="preserve"> </w:t>
      </w:r>
      <w:r w:rsidR="00CE6E9A" w:rsidRPr="00615171">
        <w:rPr>
          <w:rFonts w:asciiTheme="majorBidi" w:hAnsiTheme="majorBidi" w:cstheme="majorBidi"/>
          <w:color w:val="000000" w:themeColor="text1"/>
          <w:sz w:val="24"/>
          <w:szCs w:val="24"/>
        </w:rPr>
        <w:t>has re</w:t>
      </w:r>
      <w:r w:rsidRPr="00615171">
        <w:rPr>
          <w:rFonts w:asciiTheme="majorBidi" w:hAnsiTheme="majorBidi" w:cstheme="majorBidi"/>
          <w:color w:val="000000" w:themeColor="text1"/>
          <w:sz w:val="24"/>
          <w:szCs w:val="24"/>
        </w:rPr>
        <w:t>-</w:t>
      </w:r>
      <w:r w:rsidR="004E6B0C" w:rsidRPr="00615171">
        <w:rPr>
          <w:rFonts w:asciiTheme="majorBidi" w:hAnsiTheme="majorBidi" w:cstheme="majorBidi"/>
          <w:color w:val="000000" w:themeColor="text1"/>
          <w:sz w:val="24"/>
          <w:szCs w:val="24"/>
        </w:rPr>
        <w:t>ex</w:t>
      </w:r>
      <w:r w:rsidR="00CE6E9A" w:rsidRPr="00615171">
        <w:rPr>
          <w:rFonts w:asciiTheme="majorBidi" w:hAnsiTheme="majorBidi" w:cstheme="majorBidi"/>
          <w:color w:val="000000" w:themeColor="text1"/>
          <w:sz w:val="24"/>
          <w:szCs w:val="24"/>
        </w:rPr>
        <w:t xml:space="preserve">amined the </w:t>
      </w:r>
      <w:r w:rsidR="00D30488" w:rsidRPr="00615171">
        <w:rPr>
          <w:rFonts w:asciiTheme="majorBidi" w:hAnsiTheme="majorBidi" w:cstheme="majorBidi"/>
          <w:color w:val="000000" w:themeColor="text1"/>
          <w:sz w:val="24"/>
          <w:szCs w:val="24"/>
        </w:rPr>
        <w:t>gradient</w:t>
      </w:r>
      <w:r w:rsidR="00F90DF6" w:rsidRPr="00615171">
        <w:rPr>
          <w:rFonts w:asciiTheme="majorBidi" w:hAnsiTheme="majorBidi" w:cstheme="majorBidi"/>
          <w:color w:val="000000" w:themeColor="text1"/>
          <w:sz w:val="24"/>
          <w:szCs w:val="24"/>
        </w:rPr>
        <w:t>s</w:t>
      </w:r>
      <w:r w:rsidR="00D30488" w:rsidRPr="00615171">
        <w:rPr>
          <w:rFonts w:asciiTheme="majorBidi" w:hAnsiTheme="majorBidi" w:cstheme="majorBidi"/>
          <w:color w:val="000000" w:themeColor="text1"/>
          <w:sz w:val="24"/>
          <w:szCs w:val="24"/>
        </w:rPr>
        <w:t xml:space="preserve"> of key </w:t>
      </w:r>
      <w:r w:rsidR="00D537A4" w:rsidRPr="00615171">
        <w:rPr>
          <w:rFonts w:asciiTheme="majorBidi" w:hAnsiTheme="majorBidi" w:cstheme="majorBidi"/>
          <w:color w:val="000000" w:themeColor="text1"/>
          <w:sz w:val="24"/>
          <w:szCs w:val="24"/>
        </w:rPr>
        <w:t xml:space="preserve">socio-economic </w:t>
      </w:r>
      <w:r w:rsidR="00D30488" w:rsidRPr="00615171">
        <w:rPr>
          <w:rFonts w:asciiTheme="majorBidi" w:hAnsiTheme="majorBidi" w:cstheme="majorBidi"/>
          <w:color w:val="000000" w:themeColor="text1"/>
          <w:sz w:val="24"/>
          <w:szCs w:val="24"/>
        </w:rPr>
        <w:t>indicators</w:t>
      </w:r>
      <w:r w:rsidR="00D537A4" w:rsidRPr="00615171">
        <w:rPr>
          <w:rFonts w:asciiTheme="majorBidi" w:hAnsiTheme="majorBidi" w:cstheme="majorBidi"/>
          <w:color w:val="000000" w:themeColor="text1"/>
          <w:sz w:val="24"/>
          <w:szCs w:val="24"/>
        </w:rPr>
        <w:t xml:space="preserve"> in </w:t>
      </w:r>
      <w:r w:rsidR="00E645DD" w:rsidRPr="00615171">
        <w:rPr>
          <w:rFonts w:asciiTheme="majorBidi" w:hAnsiTheme="majorBidi" w:cstheme="majorBidi"/>
          <w:color w:val="000000" w:themeColor="text1"/>
          <w:sz w:val="24"/>
          <w:szCs w:val="24"/>
        </w:rPr>
        <w:t xml:space="preserve">the </w:t>
      </w:r>
      <w:r w:rsidR="00D537A4" w:rsidRPr="00615171">
        <w:rPr>
          <w:rFonts w:asciiTheme="majorBidi" w:hAnsiTheme="majorBidi" w:cstheme="majorBidi"/>
          <w:color w:val="000000" w:themeColor="text1"/>
          <w:sz w:val="24"/>
          <w:szCs w:val="24"/>
        </w:rPr>
        <w:t>health of old</w:t>
      </w:r>
      <w:r w:rsidRPr="00615171">
        <w:rPr>
          <w:rFonts w:asciiTheme="majorBidi" w:hAnsiTheme="majorBidi" w:cstheme="majorBidi"/>
          <w:color w:val="000000" w:themeColor="text1"/>
          <w:sz w:val="24"/>
          <w:szCs w:val="24"/>
        </w:rPr>
        <w:t>er</w:t>
      </w:r>
      <w:r w:rsidR="00D537A4" w:rsidRPr="00615171">
        <w:rPr>
          <w:rFonts w:asciiTheme="majorBidi" w:hAnsiTheme="majorBidi" w:cstheme="majorBidi"/>
          <w:color w:val="000000" w:themeColor="text1"/>
          <w:sz w:val="24"/>
          <w:szCs w:val="24"/>
        </w:rPr>
        <w:t xml:space="preserve"> people in </w:t>
      </w:r>
      <w:r w:rsidR="006C5C32" w:rsidRPr="00615171">
        <w:rPr>
          <w:rFonts w:asciiTheme="majorBidi" w:hAnsiTheme="majorBidi" w:cstheme="majorBidi"/>
          <w:color w:val="000000" w:themeColor="text1"/>
          <w:sz w:val="24"/>
          <w:szCs w:val="24"/>
        </w:rPr>
        <w:t>the UK</w:t>
      </w:r>
      <w:r w:rsidRPr="00615171">
        <w:rPr>
          <w:rFonts w:asciiTheme="majorBidi" w:hAnsiTheme="majorBidi" w:cstheme="majorBidi"/>
          <w:color w:val="000000" w:themeColor="text1"/>
          <w:sz w:val="24"/>
          <w:szCs w:val="24"/>
        </w:rPr>
        <w:t xml:space="preserve"> by</w:t>
      </w:r>
      <w:r w:rsidR="002310F1" w:rsidRPr="00615171">
        <w:rPr>
          <w:rFonts w:asciiTheme="majorBidi" w:hAnsiTheme="majorBidi" w:cstheme="majorBidi"/>
          <w:color w:val="000000" w:themeColor="text1"/>
          <w:sz w:val="24"/>
          <w:szCs w:val="24"/>
        </w:rPr>
        <w:t xml:space="preserve"> </w:t>
      </w:r>
      <w:r w:rsidR="008664A9" w:rsidRPr="00615171">
        <w:rPr>
          <w:rFonts w:asciiTheme="majorBidi" w:hAnsiTheme="majorBidi" w:cstheme="majorBidi"/>
          <w:color w:val="000000" w:themeColor="text1"/>
          <w:sz w:val="24"/>
          <w:szCs w:val="24"/>
        </w:rPr>
        <w:t>critically</w:t>
      </w:r>
      <w:r w:rsidRPr="00615171">
        <w:rPr>
          <w:rFonts w:asciiTheme="majorBidi" w:hAnsiTheme="majorBidi" w:cstheme="majorBidi"/>
          <w:color w:val="000000" w:themeColor="text1"/>
          <w:sz w:val="24"/>
          <w:szCs w:val="24"/>
        </w:rPr>
        <w:t xml:space="preserve"> analysing </w:t>
      </w:r>
      <w:r w:rsidR="000103E3" w:rsidRPr="00615171">
        <w:rPr>
          <w:rFonts w:asciiTheme="majorBidi" w:hAnsiTheme="majorBidi" w:cstheme="majorBidi"/>
          <w:color w:val="000000" w:themeColor="text1"/>
          <w:sz w:val="24"/>
          <w:szCs w:val="24"/>
        </w:rPr>
        <w:t xml:space="preserve">selected </w:t>
      </w:r>
      <w:r w:rsidRPr="00615171">
        <w:rPr>
          <w:rFonts w:asciiTheme="majorBidi" w:hAnsiTheme="majorBidi" w:cstheme="majorBidi"/>
          <w:color w:val="000000" w:themeColor="text1"/>
          <w:sz w:val="24"/>
          <w:szCs w:val="24"/>
        </w:rPr>
        <w:t>important published resources</w:t>
      </w:r>
      <w:r w:rsidR="0021129B" w:rsidRPr="00615171">
        <w:rPr>
          <w:rFonts w:asciiTheme="majorBidi" w:hAnsiTheme="majorBidi" w:cstheme="majorBidi"/>
          <w:color w:val="000000" w:themeColor="text1"/>
          <w:sz w:val="24"/>
          <w:szCs w:val="24"/>
        </w:rPr>
        <w:t>.</w:t>
      </w:r>
      <w:r w:rsidR="000103E3" w:rsidRPr="00615171">
        <w:rPr>
          <w:rFonts w:asciiTheme="majorBidi" w:hAnsiTheme="majorBidi" w:cstheme="majorBidi"/>
          <w:color w:val="000000" w:themeColor="text1"/>
          <w:sz w:val="24"/>
          <w:szCs w:val="24"/>
        </w:rPr>
        <w:t xml:space="preserve"> We initially examined t</w:t>
      </w:r>
      <w:r w:rsidR="0017630D" w:rsidRPr="00615171">
        <w:rPr>
          <w:rFonts w:asciiTheme="majorBidi" w:hAnsiTheme="majorBidi" w:cstheme="majorBidi"/>
          <w:color w:val="000000" w:themeColor="text1"/>
          <w:sz w:val="24"/>
          <w:szCs w:val="24"/>
        </w:rPr>
        <w:t>he causality of s</w:t>
      </w:r>
      <w:r w:rsidR="0033610B" w:rsidRPr="00615171">
        <w:rPr>
          <w:rFonts w:asciiTheme="majorBidi" w:hAnsiTheme="majorBidi" w:cstheme="majorBidi"/>
          <w:color w:val="000000" w:themeColor="text1"/>
          <w:sz w:val="24"/>
          <w:szCs w:val="24"/>
        </w:rPr>
        <w:t>ocio-economic status</w:t>
      </w:r>
      <w:r w:rsidRPr="00615171">
        <w:rPr>
          <w:rFonts w:asciiTheme="majorBidi" w:hAnsiTheme="majorBidi" w:cstheme="majorBidi"/>
          <w:color w:val="000000" w:themeColor="text1"/>
          <w:sz w:val="24"/>
          <w:szCs w:val="24"/>
        </w:rPr>
        <w:t xml:space="preserve"> (SES)</w:t>
      </w:r>
      <w:r w:rsidR="0033610B" w:rsidRPr="00615171">
        <w:rPr>
          <w:rFonts w:asciiTheme="majorBidi" w:hAnsiTheme="majorBidi" w:cstheme="majorBidi"/>
          <w:color w:val="000000" w:themeColor="text1"/>
          <w:sz w:val="24"/>
          <w:szCs w:val="24"/>
        </w:rPr>
        <w:t xml:space="preserve"> and </w:t>
      </w:r>
      <w:r w:rsidR="000103E3" w:rsidRPr="00615171">
        <w:rPr>
          <w:rFonts w:asciiTheme="majorBidi" w:hAnsiTheme="majorBidi" w:cstheme="majorBidi"/>
          <w:color w:val="000000" w:themeColor="text1"/>
          <w:sz w:val="24"/>
          <w:szCs w:val="24"/>
        </w:rPr>
        <w:t>health and went on to explore</w:t>
      </w:r>
      <w:r w:rsidRPr="00615171">
        <w:rPr>
          <w:rFonts w:asciiTheme="majorBidi" w:hAnsiTheme="majorBidi" w:cstheme="majorBidi"/>
          <w:color w:val="000000" w:themeColor="text1"/>
          <w:sz w:val="24"/>
          <w:szCs w:val="24"/>
        </w:rPr>
        <w:t xml:space="preserve"> how </w:t>
      </w:r>
      <w:r w:rsidR="0033610B" w:rsidRPr="00615171">
        <w:rPr>
          <w:rFonts w:asciiTheme="majorBidi" w:hAnsiTheme="majorBidi" w:cstheme="majorBidi"/>
          <w:color w:val="000000" w:themeColor="text1"/>
          <w:sz w:val="24"/>
          <w:szCs w:val="24"/>
        </w:rPr>
        <w:t>the gradients in SES determinants are connected with people’s lives and result</w:t>
      </w:r>
      <w:r w:rsidRPr="00615171">
        <w:rPr>
          <w:rFonts w:asciiTheme="majorBidi" w:hAnsiTheme="majorBidi" w:cstheme="majorBidi"/>
          <w:color w:val="000000" w:themeColor="text1"/>
          <w:sz w:val="24"/>
          <w:szCs w:val="24"/>
        </w:rPr>
        <w:t>ant</w:t>
      </w:r>
      <w:r w:rsidR="0033610B" w:rsidRPr="00615171">
        <w:rPr>
          <w:rFonts w:asciiTheme="majorBidi" w:hAnsiTheme="majorBidi" w:cstheme="majorBidi"/>
          <w:color w:val="000000" w:themeColor="text1"/>
          <w:sz w:val="24"/>
          <w:szCs w:val="24"/>
        </w:rPr>
        <w:t xml:space="preserve"> inequalities in health. </w:t>
      </w:r>
      <w:r w:rsidR="00CE6E9A" w:rsidRPr="00615171">
        <w:rPr>
          <w:rFonts w:asciiTheme="majorBidi" w:hAnsiTheme="majorBidi" w:cstheme="majorBidi"/>
          <w:color w:val="000000" w:themeColor="text1"/>
          <w:sz w:val="24"/>
          <w:szCs w:val="24"/>
        </w:rPr>
        <w:t xml:space="preserve">Unlike meta-analysis, this is </w:t>
      </w:r>
      <w:r w:rsidR="0017630D" w:rsidRPr="00615171">
        <w:rPr>
          <w:rFonts w:asciiTheme="majorBidi" w:hAnsiTheme="majorBidi" w:cstheme="majorBidi"/>
          <w:color w:val="000000" w:themeColor="text1"/>
          <w:sz w:val="24"/>
          <w:szCs w:val="24"/>
        </w:rPr>
        <w:t xml:space="preserve">a valid </w:t>
      </w:r>
      <w:r w:rsidR="00CE6E9A" w:rsidRPr="00615171">
        <w:rPr>
          <w:rFonts w:asciiTheme="majorBidi" w:hAnsiTheme="majorBidi" w:cstheme="majorBidi"/>
          <w:color w:val="000000" w:themeColor="text1"/>
          <w:sz w:val="24"/>
          <w:szCs w:val="24"/>
        </w:rPr>
        <w:t>way to draw robust conclusion</w:t>
      </w:r>
      <w:r w:rsidRPr="00615171">
        <w:rPr>
          <w:rFonts w:asciiTheme="majorBidi" w:hAnsiTheme="majorBidi" w:cstheme="majorBidi"/>
          <w:color w:val="000000" w:themeColor="text1"/>
          <w:sz w:val="24"/>
          <w:szCs w:val="24"/>
        </w:rPr>
        <w:t>s</w:t>
      </w:r>
      <w:r w:rsidR="00CE6E9A" w:rsidRPr="00615171">
        <w:rPr>
          <w:rFonts w:asciiTheme="majorBidi" w:hAnsiTheme="majorBidi" w:cstheme="majorBidi"/>
          <w:color w:val="000000" w:themeColor="text1"/>
          <w:sz w:val="24"/>
          <w:szCs w:val="24"/>
        </w:rPr>
        <w:t xml:space="preserve"> about key findings </w:t>
      </w:r>
      <w:r w:rsidRPr="00615171">
        <w:rPr>
          <w:rFonts w:asciiTheme="majorBidi" w:hAnsiTheme="majorBidi" w:cstheme="majorBidi"/>
          <w:color w:val="000000" w:themeColor="text1"/>
          <w:sz w:val="24"/>
          <w:szCs w:val="24"/>
        </w:rPr>
        <w:t>in the</w:t>
      </w:r>
      <w:r w:rsidR="00CE6E9A" w:rsidRPr="00615171">
        <w:rPr>
          <w:rFonts w:asciiTheme="majorBidi" w:hAnsiTheme="majorBidi" w:cstheme="majorBidi"/>
          <w:color w:val="000000" w:themeColor="text1"/>
          <w:sz w:val="24"/>
          <w:szCs w:val="24"/>
        </w:rPr>
        <w:t xml:space="preserve"> relationship between SES and individual health outcome</w:t>
      </w:r>
      <w:r w:rsidR="007E3E28" w:rsidRPr="00615171">
        <w:rPr>
          <w:rFonts w:asciiTheme="majorBidi" w:hAnsiTheme="majorBidi" w:cstheme="majorBidi"/>
          <w:color w:val="000000" w:themeColor="text1"/>
          <w:sz w:val="24"/>
          <w:szCs w:val="24"/>
        </w:rPr>
        <w:t>s</w:t>
      </w:r>
      <w:r w:rsidR="00CE6E9A" w:rsidRPr="00615171">
        <w:rPr>
          <w:rFonts w:asciiTheme="majorBidi" w:hAnsiTheme="majorBidi" w:cstheme="majorBidi"/>
          <w:color w:val="000000" w:themeColor="text1"/>
          <w:sz w:val="24"/>
          <w:szCs w:val="24"/>
        </w:rPr>
        <w:t xml:space="preserve">. </w:t>
      </w:r>
      <w:r w:rsidR="0017630D" w:rsidRPr="00615171">
        <w:rPr>
          <w:rFonts w:asciiTheme="majorBidi" w:hAnsiTheme="majorBidi" w:cstheme="majorBidi"/>
          <w:color w:val="000000" w:themeColor="text1"/>
          <w:sz w:val="24"/>
          <w:szCs w:val="24"/>
        </w:rPr>
        <w:t>T</w:t>
      </w:r>
      <w:r w:rsidR="00BD2CC8" w:rsidRPr="00615171">
        <w:rPr>
          <w:rFonts w:asciiTheme="majorBidi" w:hAnsiTheme="majorBidi" w:cstheme="majorBidi"/>
          <w:color w:val="000000" w:themeColor="text1"/>
          <w:sz w:val="24"/>
          <w:szCs w:val="24"/>
        </w:rPr>
        <w:t xml:space="preserve">he evidence from the main </w:t>
      </w:r>
      <w:r w:rsidR="005A4769" w:rsidRPr="00615171">
        <w:rPr>
          <w:rFonts w:asciiTheme="majorBidi" w:hAnsiTheme="majorBidi" w:cstheme="majorBidi"/>
          <w:color w:val="000000" w:themeColor="text1"/>
          <w:sz w:val="24"/>
          <w:szCs w:val="24"/>
        </w:rPr>
        <w:t>discussion</w:t>
      </w:r>
      <w:r w:rsidR="00BD2CC8" w:rsidRPr="00615171">
        <w:rPr>
          <w:rFonts w:asciiTheme="majorBidi" w:hAnsiTheme="majorBidi" w:cstheme="majorBidi"/>
          <w:color w:val="000000" w:themeColor="text1"/>
          <w:sz w:val="24"/>
          <w:szCs w:val="24"/>
        </w:rPr>
        <w:t xml:space="preserve"> reveal</w:t>
      </w:r>
      <w:r w:rsidR="00190882" w:rsidRPr="00615171">
        <w:rPr>
          <w:rFonts w:asciiTheme="majorBidi" w:hAnsiTheme="majorBidi" w:cstheme="majorBidi"/>
          <w:color w:val="000000" w:themeColor="text1"/>
          <w:sz w:val="24"/>
          <w:szCs w:val="24"/>
        </w:rPr>
        <w:t>s</w:t>
      </w:r>
      <w:r w:rsidR="00BD2CC8" w:rsidRPr="00615171">
        <w:rPr>
          <w:rFonts w:asciiTheme="majorBidi" w:hAnsiTheme="majorBidi" w:cstheme="majorBidi"/>
          <w:color w:val="000000" w:themeColor="text1"/>
          <w:sz w:val="24"/>
          <w:szCs w:val="24"/>
        </w:rPr>
        <w:t xml:space="preserve"> that</w:t>
      </w:r>
      <w:r w:rsidR="00190882" w:rsidRPr="00615171">
        <w:rPr>
          <w:rFonts w:asciiTheme="majorBidi" w:hAnsiTheme="majorBidi" w:cstheme="majorBidi"/>
          <w:color w:val="000000" w:themeColor="text1"/>
          <w:sz w:val="24"/>
          <w:szCs w:val="24"/>
        </w:rPr>
        <w:t xml:space="preserve"> older people</w:t>
      </w:r>
      <w:r w:rsidR="0070162F" w:rsidRPr="00615171">
        <w:rPr>
          <w:rFonts w:asciiTheme="majorBidi" w:hAnsiTheme="majorBidi" w:cstheme="majorBidi"/>
          <w:color w:val="000000" w:themeColor="text1"/>
          <w:sz w:val="24"/>
          <w:szCs w:val="24"/>
        </w:rPr>
        <w:t xml:space="preserve"> </w:t>
      </w:r>
      <w:r w:rsidR="00190882" w:rsidRPr="00615171">
        <w:rPr>
          <w:rFonts w:asciiTheme="majorBidi" w:hAnsiTheme="majorBidi" w:cstheme="majorBidi"/>
          <w:color w:val="000000" w:themeColor="text1"/>
          <w:sz w:val="24"/>
          <w:szCs w:val="24"/>
        </w:rPr>
        <w:t xml:space="preserve">with lower </w:t>
      </w:r>
      <w:r w:rsidR="007E3E28" w:rsidRPr="00615171">
        <w:rPr>
          <w:rFonts w:asciiTheme="majorBidi" w:hAnsiTheme="majorBidi" w:cstheme="majorBidi"/>
          <w:color w:val="000000" w:themeColor="text1"/>
          <w:sz w:val="24"/>
          <w:szCs w:val="24"/>
        </w:rPr>
        <w:t>SES</w:t>
      </w:r>
      <w:r w:rsidR="0070162F" w:rsidRPr="00615171">
        <w:rPr>
          <w:rFonts w:asciiTheme="majorBidi" w:hAnsiTheme="majorBidi" w:cstheme="majorBidi"/>
          <w:color w:val="000000" w:themeColor="text1"/>
          <w:sz w:val="24"/>
          <w:szCs w:val="24"/>
        </w:rPr>
        <w:t xml:space="preserve"> </w:t>
      </w:r>
      <w:r w:rsidR="003C76C0" w:rsidRPr="00615171">
        <w:rPr>
          <w:rFonts w:asciiTheme="majorBidi" w:hAnsiTheme="majorBidi" w:cstheme="majorBidi"/>
          <w:color w:val="000000" w:themeColor="text1"/>
          <w:sz w:val="24"/>
          <w:szCs w:val="24"/>
        </w:rPr>
        <w:t xml:space="preserve">are </w:t>
      </w:r>
      <w:r w:rsidR="000103E3" w:rsidRPr="00615171">
        <w:rPr>
          <w:rFonts w:asciiTheme="majorBidi" w:hAnsiTheme="majorBidi" w:cstheme="majorBidi"/>
          <w:color w:val="000000" w:themeColor="text1"/>
          <w:sz w:val="24"/>
          <w:szCs w:val="24"/>
        </w:rPr>
        <w:t xml:space="preserve">clearly </w:t>
      </w:r>
      <w:r w:rsidR="0070162F" w:rsidRPr="00615171">
        <w:rPr>
          <w:rFonts w:asciiTheme="majorBidi" w:hAnsiTheme="majorBidi" w:cstheme="majorBidi"/>
          <w:color w:val="000000" w:themeColor="text1"/>
          <w:sz w:val="24"/>
          <w:szCs w:val="24"/>
        </w:rPr>
        <w:t xml:space="preserve">more exposed to risk factors </w:t>
      </w:r>
      <w:r w:rsidRPr="00615171">
        <w:rPr>
          <w:rFonts w:asciiTheme="majorBidi" w:hAnsiTheme="majorBidi" w:cstheme="majorBidi"/>
          <w:color w:val="000000" w:themeColor="text1"/>
          <w:sz w:val="24"/>
          <w:szCs w:val="24"/>
        </w:rPr>
        <w:t>in</w:t>
      </w:r>
      <w:r w:rsidR="0070162F" w:rsidRPr="00615171">
        <w:rPr>
          <w:rFonts w:asciiTheme="majorBidi" w:hAnsiTheme="majorBidi" w:cstheme="majorBidi"/>
          <w:color w:val="000000" w:themeColor="text1"/>
          <w:sz w:val="24"/>
          <w:szCs w:val="24"/>
        </w:rPr>
        <w:t xml:space="preserve"> health</w:t>
      </w:r>
      <w:r w:rsidRPr="00615171">
        <w:rPr>
          <w:rFonts w:asciiTheme="majorBidi" w:hAnsiTheme="majorBidi" w:cstheme="majorBidi"/>
          <w:color w:val="000000" w:themeColor="text1"/>
          <w:sz w:val="24"/>
          <w:szCs w:val="24"/>
        </w:rPr>
        <w:t xml:space="preserve"> </w:t>
      </w:r>
      <w:r w:rsidR="0070162F" w:rsidRPr="00615171">
        <w:rPr>
          <w:rFonts w:asciiTheme="majorBidi" w:hAnsiTheme="majorBidi" w:cstheme="majorBidi"/>
          <w:color w:val="000000" w:themeColor="text1"/>
          <w:sz w:val="24"/>
          <w:szCs w:val="24"/>
        </w:rPr>
        <w:t>compared to those</w:t>
      </w:r>
      <w:r w:rsidR="00EC1D7C" w:rsidRPr="00615171">
        <w:rPr>
          <w:rFonts w:asciiTheme="majorBidi" w:hAnsiTheme="majorBidi" w:cstheme="majorBidi"/>
          <w:color w:val="000000" w:themeColor="text1"/>
          <w:sz w:val="24"/>
          <w:szCs w:val="24"/>
        </w:rPr>
        <w:t xml:space="preserve"> who are </w:t>
      </w:r>
      <w:r w:rsidR="007E3E28" w:rsidRPr="00615171">
        <w:rPr>
          <w:rFonts w:asciiTheme="majorBidi" w:hAnsiTheme="majorBidi" w:cstheme="majorBidi"/>
          <w:color w:val="000000" w:themeColor="text1"/>
          <w:sz w:val="24"/>
          <w:szCs w:val="24"/>
        </w:rPr>
        <w:t xml:space="preserve">of </w:t>
      </w:r>
      <w:r w:rsidRPr="00615171">
        <w:rPr>
          <w:rFonts w:asciiTheme="majorBidi" w:hAnsiTheme="majorBidi" w:cstheme="majorBidi"/>
          <w:color w:val="000000" w:themeColor="text1"/>
          <w:sz w:val="24"/>
          <w:szCs w:val="24"/>
        </w:rPr>
        <w:t>a</w:t>
      </w:r>
      <w:r w:rsidR="0070162F" w:rsidRPr="00615171">
        <w:rPr>
          <w:rFonts w:asciiTheme="majorBidi" w:hAnsiTheme="majorBidi" w:cstheme="majorBidi"/>
          <w:color w:val="000000" w:themeColor="text1"/>
          <w:sz w:val="24"/>
          <w:szCs w:val="24"/>
        </w:rPr>
        <w:t xml:space="preserve"> high</w:t>
      </w:r>
      <w:r w:rsidR="007E3E28" w:rsidRPr="00615171">
        <w:rPr>
          <w:rFonts w:asciiTheme="majorBidi" w:hAnsiTheme="majorBidi" w:cstheme="majorBidi"/>
          <w:color w:val="000000" w:themeColor="text1"/>
          <w:sz w:val="24"/>
          <w:szCs w:val="24"/>
        </w:rPr>
        <w:t>er SES</w:t>
      </w:r>
      <w:r w:rsidR="000103E3" w:rsidRPr="00615171">
        <w:rPr>
          <w:rFonts w:asciiTheme="majorBidi" w:hAnsiTheme="majorBidi" w:cstheme="majorBidi"/>
          <w:color w:val="000000" w:themeColor="text1"/>
          <w:sz w:val="24"/>
          <w:szCs w:val="24"/>
        </w:rPr>
        <w:t xml:space="preserve"> and that this is a complex picture</w:t>
      </w:r>
      <w:r w:rsidR="0070162F" w:rsidRPr="00615171">
        <w:rPr>
          <w:rFonts w:asciiTheme="majorBidi" w:hAnsiTheme="majorBidi" w:cstheme="majorBidi"/>
          <w:color w:val="000000" w:themeColor="text1"/>
          <w:sz w:val="24"/>
          <w:szCs w:val="24"/>
        </w:rPr>
        <w:t>.</w:t>
      </w:r>
      <w:r w:rsidR="00EC1D7C" w:rsidRPr="00615171">
        <w:rPr>
          <w:rFonts w:asciiTheme="majorBidi" w:hAnsiTheme="majorBidi" w:cstheme="majorBidi"/>
          <w:color w:val="000000" w:themeColor="text1"/>
          <w:sz w:val="24"/>
          <w:szCs w:val="24"/>
        </w:rPr>
        <w:t xml:space="preserve"> Consequently, th</w:t>
      </w:r>
      <w:r w:rsidRPr="00615171">
        <w:rPr>
          <w:rFonts w:asciiTheme="majorBidi" w:hAnsiTheme="majorBidi" w:cstheme="majorBidi"/>
          <w:color w:val="000000" w:themeColor="text1"/>
          <w:sz w:val="24"/>
          <w:szCs w:val="24"/>
        </w:rPr>
        <w:t>ose at a lower SES</w:t>
      </w:r>
      <w:r w:rsidR="00EC1D7C" w:rsidRPr="00615171">
        <w:rPr>
          <w:rFonts w:asciiTheme="majorBidi" w:hAnsiTheme="majorBidi" w:cstheme="majorBidi"/>
          <w:color w:val="000000" w:themeColor="text1"/>
          <w:sz w:val="24"/>
          <w:szCs w:val="24"/>
        </w:rPr>
        <w:t xml:space="preserve"> </w:t>
      </w:r>
      <w:r w:rsidR="003C76C0" w:rsidRPr="00615171">
        <w:rPr>
          <w:rFonts w:asciiTheme="majorBidi" w:hAnsiTheme="majorBidi" w:cstheme="majorBidi"/>
          <w:color w:val="000000" w:themeColor="text1"/>
          <w:sz w:val="24"/>
          <w:szCs w:val="24"/>
        </w:rPr>
        <w:t xml:space="preserve">are </w:t>
      </w:r>
      <w:r w:rsidR="0032146D" w:rsidRPr="00615171">
        <w:rPr>
          <w:rFonts w:asciiTheme="majorBidi" w:hAnsiTheme="majorBidi" w:cstheme="majorBidi"/>
          <w:color w:val="000000" w:themeColor="text1"/>
          <w:sz w:val="24"/>
          <w:szCs w:val="24"/>
        </w:rPr>
        <w:t>more likely to suff</w:t>
      </w:r>
      <w:r w:rsidR="00113835" w:rsidRPr="00615171">
        <w:rPr>
          <w:rFonts w:asciiTheme="majorBidi" w:hAnsiTheme="majorBidi" w:cstheme="majorBidi"/>
          <w:color w:val="000000" w:themeColor="text1"/>
          <w:sz w:val="24"/>
          <w:szCs w:val="24"/>
        </w:rPr>
        <w:t>er health problems such as long-</w:t>
      </w:r>
      <w:r w:rsidR="0032146D" w:rsidRPr="00615171">
        <w:rPr>
          <w:rFonts w:asciiTheme="majorBidi" w:hAnsiTheme="majorBidi" w:cstheme="majorBidi"/>
          <w:color w:val="000000" w:themeColor="text1"/>
          <w:sz w:val="24"/>
          <w:szCs w:val="24"/>
        </w:rPr>
        <w:t>standing illness, disabilities</w:t>
      </w:r>
      <w:r w:rsidR="00841FAF" w:rsidRPr="00615171">
        <w:rPr>
          <w:rFonts w:asciiTheme="majorBidi" w:hAnsiTheme="majorBidi" w:cstheme="majorBidi"/>
          <w:color w:val="000000" w:themeColor="text1"/>
          <w:sz w:val="24"/>
          <w:szCs w:val="24"/>
        </w:rPr>
        <w:t>,</w:t>
      </w:r>
      <w:r w:rsidR="0032146D" w:rsidRPr="00615171">
        <w:rPr>
          <w:rFonts w:asciiTheme="majorBidi" w:hAnsiTheme="majorBidi" w:cstheme="majorBidi"/>
          <w:color w:val="000000" w:themeColor="text1"/>
          <w:sz w:val="24"/>
          <w:szCs w:val="24"/>
        </w:rPr>
        <w:t xml:space="preserve"> and</w:t>
      </w:r>
      <w:r w:rsidR="00BD50C7" w:rsidRPr="00615171">
        <w:rPr>
          <w:rFonts w:asciiTheme="majorBidi" w:hAnsiTheme="majorBidi" w:cstheme="majorBidi"/>
          <w:color w:val="000000" w:themeColor="text1"/>
          <w:sz w:val="24"/>
          <w:szCs w:val="24"/>
        </w:rPr>
        <w:t xml:space="preserve"> </w:t>
      </w:r>
      <w:r w:rsidR="007E3E28" w:rsidRPr="00615171">
        <w:rPr>
          <w:rFonts w:asciiTheme="majorBidi" w:hAnsiTheme="majorBidi" w:cstheme="majorBidi"/>
          <w:color w:val="000000" w:themeColor="text1"/>
          <w:sz w:val="24"/>
          <w:szCs w:val="24"/>
        </w:rPr>
        <w:t xml:space="preserve">have a </w:t>
      </w:r>
      <w:r w:rsidR="00BD50C7" w:rsidRPr="00615171">
        <w:rPr>
          <w:rFonts w:asciiTheme="majorBidi" w:hAnsiTheme="majorBidi" w:cstheme="majorBidi"/>
          <w:color w:val="000000" w:themeColor="text1"/>
          <w:sz w:val="24"/>
          <w:szCs w:val="24"/>
        </w:rPr>
        <w:t>shorter li</w:t>
      </w:r>
      <w:r w:rsidR="007E3E28" w:rsidRPr="00615171">
        <w:rPr>
          <w:rFonts w:asciiTheme="majorBidi" w:hAnsiTheme="majorBidi" w:cstheme="majorBidi"/>
          <w:color w:val="000000" w:themeColor="text1"/>
          <w:sz w:val="24"/>
          <w:szCs w:val="24"/>
        </w:rPr>
        <w:t>fe expectancy</w:t>
      </w:r>
      <w:r w:rsidR="00BD50C7" w:rsidRPr="00615171">
        <w:rPr>
          <w:rFonts w:asciiTheme="majorBidi" w:hAnsiTheme="majorBidi" w:cstheme="majorBidi"/>
          <w:color w:val="000000" w:themeColor="text1"/>
          <w:sz w:val="24"/>
          <w:szCs w:val="24"/>
        </w:rPr>
        <w:t xml:space="preserve"> </w:t>
      </w:r>
      <w:r w:rsidR="0032146D" w:rsidRPr="00615171">
        <w:rPr>
          <w:rFonts w:asciiTheme="majorBidi" w:hAnsiTheme="majorBidi" w:cstheme="majorBidi"/>
          <w:color w:val="000000" w:themeColor="text1"/>
          <w:sz w:val="24"/>
          <w:szCs w:val="24"/>
        </w:rPr>
        <w:t>compared to their higher SES counterparts</w:t>
      </w:r>
      <w:r w:rsidR="00EC1D7C" w:rsidRPr="00615171">
        <w:rPr>
          <w:rFonts w:asciiTheme="majorBidi" w:hAnsiTheme="majorBidi" w:cstheme="majorBidi"/>
          <w:color w:val="000000" w:themeColor="text1"/>
          <w:sz w:val="24"/>
          <w:szCs w:val="24"/>
        </w:rPr>
        <w:t>.</w:t>
      </w:r>
      <w:r w:rsidR="005A4769" w:rsidRPr="00615171">
        <w:rPr>
          <w:rFonts w:asciiTheme="majorBidi" w:hAnsiTheme="majorBidi" w:cstheme="majorBidi"/>
          <w:color w:val="000000" w:themeColor="text1"/>
          <w:sz w:val="24"/>
          <w:szCs w:val="24"/>
        </w:rPr>
        <w:t xml:space="preserve"> </w:t>
      </w:r>
    </w:p>
    <w:p w14:paraId="5343F811" w14:textId="77777777" w:rsidR="00623739" w:rsidRPr="00615171" w:rsidRDefault="00623739" w:rsidP="00623739">
      <w:pPr>
        <w:spacing w:after="0" w:line="240" w:lineRule="auto"/>
        <w:ind w:firstLine="720"/>
        <w:jc w:val="both"/>
        <w:rPr>
          <w:rFonts w:asciiTheme="majorBidi" w:hAnsiTheme="majorBidi" w:cstheme="majorBidi"/>
          <w:color w:val="000000" w:themeColor="text1"/>
          <w:sz w:val="24"/>
          <w:szCs w:val="24"/>
        </w:rPr>
      </w:pPr>
    </w:p>
    <w:p w14:paraId="6EB29304" w14:textId="0FA00FCB" w:rsidR="00FE4580" w:rsidRPr="00615171" w:rsidRDefault="00E645DD" w:rsidP="00FE4580">
      <w:pPr>
        <w:spacing w:after="0" w:line="240" w:lineRule="auto"/>
        <w:ind w:firstLine="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 </w:t>
      </w:r>
      <w:r w:rsidR="00247E8A" w:rsidRPr="00615171">
        <w:rPr>
          <w:rFonts w:asciiTheme="majorBidi" w:hAnsiTheme="majorBidi" w:cstheme="majorBidi"/>
          <w:color w:val="000000" w:themeColor="text1"/>
          <w:sz w:val="24"/>
          <w:szCs w:val="24"/>
        </w:rPr>
        <w:t>All the commonly used indicators h</w:t>
      </w:r>
      <w:r w:rsidR="00635F5A" w:rsidRPr="00615171">
        <w:rPr>
          <w:rFonts w:asciiTheme="majorBidi" w:hAnsiTheme="majorBidi" w:cstheme="majorBidi"/>
          <w:color w:val="000000" w:themeColor="text1"/>
          <w:sz w:val="24"/>
          <w:szCs w:val="24"/>
        </w:rPr>
        <w:t>ave</w:t>
      </w:r>
      <w:r w:rsidR="00945F77" w:rsidRPr="00615171">
        <w:rPr>
          <w:rFonts w:asciiTheme="majorBidi" w:hAnsiTheme="majorBidi" w:cstheme="majorBidi"/>
          <w:color w:val="000000" w:themeColor="text1"/>
          <w:sz w:val="24"/>
          <w:szCs w:val="24"/>
        </w:rPr>
        <w:t xml:space="preserve"> some limitations in determining</w:t>
      </w:r>
      <w:r w:rsidR="00247E8A" w:rsidRPr="00615171">
        <w:rPr>
          <w:rFonts w:asciiTheme="majorBidi" w:hAnsiTheme="majorBidi" w:cstheme="majorBidi"/>
          <w:color w:val="000000" w:themeColor="text1"/>
          <w:sz w:val="24"/>
          <w:szCs w:val="24"/>
        </w:rPr>
        <w:t xml:space="preserve"> the exact </w:t>
      </w:r>
      <w:r w:rsidR="007E3E28" w:rsidRPr="00615171">
        <w:rPr>
          <w:rFonts w:asciiTheme="majorBidi" w:hAnsiTheme="majorBidi" w:cstheme="majorBidi"/>
          <w:color w:val="000000" w:themeColor="text1"/>
          <w:sz w:val="24"/>
          <w:szCs w:val="24"/>
        </w:rPr>
        <w:t>SES</w:t>
      </w:r>
      <w:r w:rsidR="00247E8A" w:rsidRPr="00615171">
        <w:rPr>
          <w:rFonts w:asciiTheme="majorBidi" w:hAnsiTheme="majorBidi" w:cstheme="majorBidi"/>
          <w:color w:val="000000" w:themeColor="text1"/>
          <w:sz w:val="24"/>
          <w:szCs w:val="24"/>
        </w:rPr>
        <w:t xml:space="preserve"> of older people</w:t>
      </w:r>
      <w:r w:rsidR="00E05CB8" w:rsidRPr="00615171">
        <w:rPr>
          <w:rFonts w:asciiTheme="majorBidi" w:hAnsiTheme="majorBidi" w:cstheme="majorBidi"/>
          <w:color w:val="000000" w:themeColor="text1"/>
          <w:sz w:val="24"/>
          <w:szCs w:val="24"/>
        </w:rPr>
        <w:t xml:space="preserve"> for studying health inequalities</w:t>
      </w:r>
      <w:r w:rsidR="007E3E28" w:rsidRPr="00615171">
        <w:rPr>
          <w:rFonts w:asciiTheme="majorBidi" w:hAnsiTheme="majorBidi" w:cstheme="majorBidi"/>
          <w:color w:val="000000" w:themeColor="text1"/>
          <w:sz w:val="24"/>
          <w:szCs w:val="24"/>
        </w:rPr>
        <w:t xml:space="preserve"> </w:t>
      </w:r>
      <w:r w:rsidR="00EA284F" w:rsidRPr="00615171">
        <w:rPr>
          <w:rFonts w:asciiTheme="majorBidi" w:hAnsiTheme="majorBidi" w:cstheme="majorBidi"/>
          <w:color w:val="000000" w:themeColor="text1"/>
          <w:sz w:val="24"/>
          <w:szCs w:val="24"/>
        </w:rPr>
        <w:t>due to</w:t>
      </w:r>
      <w:r w:rsidR="005A4769" w:rsidRPr="00615171">
        <w:rPr>
          <w:rFonts w:asciiTheme="majorBidi" w:hAnsiTheme="majorBidi" w:cstheme="majorBidi"/>
          <w:color w:val="000000" w:themeColor="text1"/>
          <w:sz w:val="24"/>
          <w:szCs w:val="24"/>
        </w:rPr>
        <w:t xml:space="preserve"> factors</w:t>
      </w:r>
      <w:r w:rsidR="00EA284F" w:rsidRPr="00615171">
        <w:rPr>
          <w:rFonts w:asciiTheme="majorBidi" w:hAnsiTheme="majorBidi" w:cstheme="majorBidi"/>
          <w:color w:val="000000" w:themeColor="text1"/>
          <w:sz w:val="24"/>
          <w:szCs w:val="24"/>
        </w:rPr>
        <w:t xml:space="preserve"> </w:t>
      </w:r>
      <w:r w:rsidR="005A4769" w:rsidRPr="00615171">
        <w:rPr>
          <w:rFonts w:asciiTheme="majorBidi" w:hAnsiTheme="majorBidi" w:cstheme="majorBidi"/>
          <w:color w:val="000000" w:themeColor="text1"/>
          <w:sz w:val="24"/>
          <w:szCs w:val="24"/>
        </w:rPr>
        <w:t>such</w:t>
      </w:r>
      <w:r w:rsidR="007E3E28" w:rsidRPr="00615171">
        <w:rPr>
          <w:rFonts w:asciiTheme="majorBidi" w:hAnsiTheme="majorBidi" w:cstheme="majorBidi"/>
          <w:color w:val="000000" w:themeColor="text1"/>
          <w:sz w:val="24"/>
          <w:szCs w:val="24"/>
        </w:rPr>
        <w:t xml:space="preserve"> as </w:t>
      </w:r>
      <w:r w:rsidR="00247E8A" w:rsidRPr="00615171">
        <w:rPr>
          <w:rFonts w:asciiTheme="majorBidi" w:hAnsiTheme="majorBidi" w:cstheme="majorBidi"/>
          <w:color w:val="000000" w:themeColor="text1"/>
          <w:sz w:val="24"/>
          <w:szCs w:val="24"/>
        </w:rPr>
        <w:t>less participation in</w:t>
      </w:r>
      <w:r w:rsidR="007E3E28" w:rsidRPr="00615171">
        <w:rPr>
          <w:rFonts w:asciiTheme="majorBidi" w:hAnsiTheme="majorBidi" w:cstheme="majorBidi"/>
          <w:color w:val="000000" w:themeColor="text1"/>
          <w:sz w:val="24"/>
          <w:szCs w:val="24"/>
        </w:rPr>
        <w:t xml:space="preserve"> the</w:t>
      </w:r>
      <w:r w:rsidR="00247E8A" w:rsidRPr="00615171">
        <w:rPr>
          <w:rFonts w:asciiTheme="majorBidi" w:hAnsiTheme="majorBidi" w:cstheme="majorBidi"/>
          <w:color w:val="000000" w:themeColor="text1"/>
          <w:sz w:val="24"/>
          <w:szCs w:val="24"/>
        </w:rPr>
        <w:t xml:space="preserve"> labour market</w:t>
      </w:r>
      <w:r w:rsidR="007E3E28" w:rsidRPr="00615171">
        <w:rPr>
          <w:rFonts w:asciiTheme="majorBidi" w:hAnsiTheme="majorBidi" w:cstheme="majorBidi"/>
          <w:color w:val="000000" w:themeColor="text1"/>
          <w:sz w:val="24"/>
          <w:szCs w:val="24"/>
        </w:rPr>
        <w:t xml:space="preserve"> for example</w:t>
      </w:r>
      <w:r w:rsidR="00247E8A" w:rsidRPr="00615171">
        <w:rPr>
          <w:rFonts w:asciiTheme="majorBidi" w:hAnsiTheme="majorBidi" w:cstheme="majorBidi"/>
          <w:color w:val="000000" w:themeColor="text1"/>
          <w:sz w:val="24"/>
          <w:szCs w:val="24"/>
        </w:rPr>
        <w:t xml:space="preserve">. </w:t>
      </w:r>
      <w:r w:rsidR="00841FAF" w:rsidRPr="00615171">
        <w:rPr>
          <w:rFonts w:asciiTheme="majorBidi" w:hAnsiTheme="majorBidi" w:cstheme="majorBidi"/>
          <w:color w:val="000000" w:themeColor="text1"/>
          <w:sz w:val="24"/>
          <w:szCs w:val="24"/>
        </w:rPr>
        <w:t>Though occupation is most frequently used</w:t>
      </w:r>
      <w:r w:rsidR="00175D57" w:rsidRPr="00615171">
        <w:rPr>
          <w:rFonts w:asciiTheme="majorBidi" w:hAnsiTheme="majorBidi" w:cstheme="majorBidi"/>
          <w:color w:val="000000" w:themeColor="text1"/>
          <w:sz w:val="24"/>
          <w:szCs w:val="24"/>
        </w:rPr>
        <w:t xml:space="preserve"> SES determinants in the UK</w:t>
      </w:r>
      <w:r w:rsidR="00113835" w:rsidRPr="00615171">
        <w:rPr>
          <w:rFonts w:asciiTheme="majorBidi" w:hAnsiTheme="majorBidi" w:cstheme="majorBidi"/>
          <w:color w:val="000000" w:themeColor="text1"/>
          <w:sz w:val="24"/>
          <w:szCs w:val="24"/>
        </w:rPr>
        <w:t>,</w:t>
      </w:r>
      <w:r w:rsidR="00175D57" w:rsidRPr="00615171">
        <w:rPr>
          <w:rFonts w:asciiTheme="majorBidi" w:hAnsiTheme="majorBidi" w:cstheme="majorBidi"/>
          <w:color w:val="000000" w:themeColor="text1"/>
          <w:sz w:val="24"/>
          <w:szCs w:val="24"/>
        </w:rPr>
        <w:t xml:space="preserve"> but </w:t>
      </w:r>
      <w:r w:rsidR="00635F5A" w:rsidRPr="00615171">
        <w:rPr>
          <w:rFonts w:asciiTheme="majorBidi" w:hAnsiTheme="majorBidi" w:cstheme="majorBidi"/>
          <w:color w:val="000000" w:themeColor="text1"/>
          <w:sz w:val="24"/>
          <w:szCs w:val="24"/>
        </w:rPr>
        <w:t>education</w:t>
      </w:r>
      <w:r w:rsidR="00175D57" w:rsidRPr="00615171">
        <w:rPr>
          <w:rFonts w:asciiTheme="majorBidi" w:hAnsiTheme="majorBidi" w:cstheme="majorBidi"/>
          <w:color w:val="000000" w:themeColor="text1"/>
          <w:sz w:val="24"/>
          <w:szCs w:val="24"/>
        </w:rPr>
        <w:t xml:space="preserve"> remains</w:t>
      </w:r>
      <w:r w:rsidR="007E6218" w:rsidRPr="00615171">
        <w:rPr>
          <w:rFonts w:asciiTheme="majorBidi" w:hAnsiTheme="majorBidi" w:cstheme="majorBidi"/>
          <w:color w:val="000000" w:themeColor="text1"/>
          <w:sz w:val="24"/>
          <w:szCs w:val="24"/>
        </w:rPr>
        <w:t xml:space="preserve"> the single most important determinant of SES</w:t>
      </w:r>
      <w:r w:rsidR="00175D57" w:rsidRPr="00615171">
        <w:rPr>
          <w:rFonts w:asciiTheme="majorBidi" w:hAnsiTheme="majorBidi" w:cstheme="majorBidi"/>
          <w:color w:val="000000" w:themeColor="text1"/>
          <w:sz w:val="24"/>
          <w:szCs w:val="24"/>
        </w:rPr>
        <w:t xml:space="preserve"> for health inequalities in later life. However, e</w:t>
      </w:r>
      <w:r w:rsidR="000E000A" w:rsidRPr="00615171">
        <w:rPr>
          <w:rFonts w:asciiTheme="majorBidi" w:hAnsiTheme="majorBidi" w:cstheme="majorBidi"/>
          <w:color w:val="000000" w:themeColor="text1"/>
          <w:sz w:val="24"/>
          <w:szCs w:val="24"/>
        </w:rPr>
        <w:t>ducation</w:t>
      </w:r>
      <w:r w:rsidR="00635F5A" w:rsidRPr="00615171">
        <w:rPr>
          <w:rFonts w:asciiTheme="majorBidi" w:hAnsiTheme="majorBidi" w:cstheme="majorBidi"/>
          <w:color w:val="000000" w:themeColor="text1"/>
          <w:sz w:val="24"/>
          <w:szCs w:val="24"/>
        </w:rPr>
        <w:t xml:space="preserve"> or </w:t>
      </w:r>
      <w:r w:rsidR="003B3BFE" w:rsidRPr="00615171">
        <w:rPr>
          <w:rFonts w:asciiTheme="majorBidi" w:hAnsiTheme="majorBidi" w:cstheme="majorBidi"/>
          <w:color w:val="000000" w:themeColor="text1"/>
          <w:sz w:val="24"/>
          <w:szCs w:val="24"/>
        </w:rPr>
        <w:t>occupational class</w:t>
      </w:r>
      <w:r w:rsidR="00635F5A" w:rsidRPr="00615171">
        <w:rPr>
          <w:rFonts w:asciiTheme="majorBidi" w:hAnsiTheme="majorBidi" w:cstheme="majorBidi"/>
          <w:color w:val="000000" w:themeColor="text1"/>
          <w:sz w:val="24"/>
          <w:szCs w:val="24"/>
        </w:rPr>
        <w:t xml:space="preserve"> </w:t>
      </w:r>
      <w:r w:rsidR="000C79D9" w:rsidRPr="00615171">
        <w:rPr>
          <w:rFonts w:asciiTheme="majorBidi" w:hAnsiTheme="majorBidi" w:cstheme="majorBidi"/>
          <w:color w:val="000000" w:themeColor="text1"/>
          <w:sz w:val="24"/>
          <w:szCs w:val="24"/>
        </w:rPr>
        <w:t xml:space="preserve">allied </w:t>
      </w:r>
      <w:r w:rsidR="00635F5A" w:rsidRPr="00615171">
        <w:rPr>
          <w:rFonts w:asciiTheme="majorBidi" w:hAnsiTheme="majorBidi" w:cstheme="majorBidi"/>
          <w:color w:val="000000" w:themeColor="text1"/>
          <w:sz w:val="24"/>
          <w:szCs w:val="24"/>
        </w:rPr>
        <w:t>with</w:t>
      </w:r>
      <w:r w:rsidR="000C79D9" w:rsidRPr="00615171">
        <w:rPr>
          <w:rFonts w:asciiTheme="majorBidi" w:hAnsiTheme="majorBidi" w:cstheme="majorBidi"/>
          <w:color w:val="000000" w:themeColor="text1"/>
          <w:sz w:val="24"/>
          <w:szCs w:val="24"/>
        </w:rPr>
        <w:t xml:space="preserve"> a</w:t>
      </w:r>
      <w:r w:rsidR="00635F5A" w:rsidRPr="00615171">
        <w:rPr>
          <w:rFonts w:asciiTheme="majorBidi" w:hAnsiTheme="majorBidi" w:cstheme="majorBidi"/>
          <w:color w:val="000000" w:themeColor="text1"/>
          <w:sz w:val="24"/>
          <w:szCs w:val="24"/>
        </w:rPr>
        <w:t xml:space="preserve"> material deprivation indicator </w:t>
      </w:r>
      <w:r w:rsidR="000C79D9" w:rsidRPr="00615171">
        <w:rPr>
          <w:rFonts w:asciiTheme="majorBidi" w:hAnsiTheme="majorBidi" w:cstheme="majorBidi"/>
          <w:color w:val="000000" w:themeColor="text1"/>
          <w:sz w:val="24"/>
          <w:szCs w:val="24"/>
        </w:rPr>
        <w:t xml:space="preserve">offers </w:t>
      </w:r>
      <w:r w:rsidR="00635F5A" w:rsidRPr="00615171">
        <w:rPr>
          <w:rFonts w:asciiTheme="majorBidi" w:hAnsiTheme="majorBidi" w:cstheme="majorBidi"/>
          <w:color w:val="000000" w:themeColor="text1"/>
          <w:sz w:val="24"/>
          <w:szCs w:val="24"/>
        </w:rPr>
        <w:t xml:space="preserve">the best pair of </w:t>
      </w:r>
      <w:r w:rsidR="000E000A" w:rsidRPr="00615171">
        <w:rPr>
          <w:rFonts w:asciiTheme="majorBidi" w:hAnsiTheme="majorBidi" w:cstheme="majorBidi"/>
          <w:color w:val="000000" w:themeColor="text1"/>
          <w:sz w:val="24"/>
          <w:szCs w:val="24"/>
        </w:rPr>
        <w:t>SES determinants in studying</w:t>
      </w:r>
      <w:r w:rsidR="000C79D9" w:rsidRPr="00615171">
        <w:rPr>
          <w:rFonts w:asciiTheme="majorBidi" w:hAnsiTheme="majorBidi" w:cstheme="majorBidi"/>
          <w:color w:val="000000" w:themeColor="text1"/>
          <w:sz w:val="24"/>
          <w:szCs w:val="24"/>
        </w:rPr>
        <w:t xml:space="preserve"> </w:t>
      </w:r>
      <w:r w:rsidR="00635F5A" w:rsidRPr="00615171">
        <w:rPr>
          <w:rFonts w:asciiTheme="majorBidi" w:hAnsiTheme="majorBidi" w:cstheme="majorBidi"/>
          <w:color w:val="000000" w:themeColor="text1"/>
          <w:sz w:val="24"/>
          <w:szCs w:val="24"/>
        </w:rPr>
        <w:t xml:space="preserve">health inequalities of older people (Grundy and Hot, 2001). </w:t>
      </w:r>
      <w:r w:rsidR="000E5BEA" w:rsidRPr="00615171">
        <w:rPr>
          <w:rFonts w:asciiTheme="majorBidi" w:hAnsiTheme="majorBidi" w:cstheme="majorBidi"/>
          <w:color w:val="000000" w:themeColor="text1"/>
          <w:sz w:val="24"/>
          <w:szCs w:val="24"/>
        </w:rPr>
        <w:t xml:space="preserve">Besides, like the </w:t>
      </w:r>
      <w:r w:rsidR="00FE4580" w:rsidRPr="00615171">
        <w:rPr>
          <w:rFonts w:asciiTheme="majorBidi" w:hAnsiTheme="majorBidi" w:cstheme="majorBidi"/>
          <w:color w:val="000000" w:themeColor="text1"/>
          <w:sz w:val="24"/>
          <w:szCs w:val="24"/>
        </w:rPr>
        <w:t>traditional SES indicators, classification of living area also tells the individual’s SES that have significant</w:t>
      </w:r>
      <w:r w:rsidR="000E5BEA" w:rsidRPr="00615171">
        <w:rPr>
          <w:rFonts w:asciiTheme="majorBidi" w:hAnsiTheme="majorBidi" w:cstheme="majorBidi"/>
          <w:color w:val="000000" w:themeColor="text1"/>
          <w:sz w:val="24"/>
          <w:szCs w:val="24"/>
        </w:rPr>
        <w:t xml:space="preserve"> effect on health</w:t>
      </w:r>
      <w:r w:rsidR="00FE4580" w:rsidRPr="00615171">
        <w:rPr>
          <w:rFonts w:asciiTheme="majorBidi" w:hAnsiTheme="majorBidi" w:cstheme="majorBidi"/>
          <w:color w:val="000000" w:themeColor="text1"/>
          <w:sz w:val="24"/>
          <w:szCs w:val="24"/>
        </w:rPr>
        <w:t xml:space="preserve"> inequalities. In particular, people who live in the most deprived </w:t>
      </w:r>
      <w:proofErr w:type="spellStart"/>
      <w:r w:rsidR="00FE4580" w:rsidRPr="00615171">
        <w:rPr>
          <w:rFonts w:asciiTheme="majorBidi" w:hAnsiTheme="majorBidi" w:cstheme="majorBidi"/>
          <w:color w:val="000000" w:themeColor="text1"/>
          <w:sz w:val="24"/>
          <w:szCs w:val="24"/>
        </w:rPr>
        <w:t>neighbourhoods</w:t>
      </w:r>
      <w:proofErr w:type="spellEnd"/>
      <w:r w:rsidR="00FE4580" w:rsidRPr="00615171">
        <w:rPr>
          <w:rFonts w:asciiTheme="majorBidi" w:hAnsiTheme="majorBidi" w:cstheme="majorBidi"/>
          <w:color w:val="000000" w:themeColor="text1"/>
          <w:sz w:val="24"/>
          <w:szCs w:val="24"/>
        </w:rPr>
        <w:t xml:space="preserve"> experience more problems with disability or illness even with their shorter life compared to those of the least deprived </w:t>
      </w:r>
      <w:proofErr w:type="spellStart"/>
      <w:r w:rsidR="00FE4580" w:rsidRPr="00615171">
        <w:rPr>
          <w:rFonts w:asciiTheme="majorBidi" w:hAnsiTheme="majorBidi" w:cstheme="majorBidi"/>
          <w:color w:val="000000" w:themeColor="text1"/>
          <w:sz w:val="24"/>
          <w:szCs w:val="24"/>
        </w:rPr>
        <w:t>neighbourhoods</w:t>
      </w:r>
      <w:proofErr w:type="spellEnd"/>
      <w:r w:rsidR="00FE4580" w:rsidRPr="00615171">
        <w:rPr>
          <w:rFonts w:asciiTheme="majorBidi" w:hAnsiTheme="majorBidi" w:cstheme="majorBidi"/>
          <w:color w:val="000000" w:themeColor="text1"/>
          <w:sz w:val="24"/>
          <w:szCs w:val="24"/>
        </w:rPr>
        <w:t>. Comprehensive policies targeting people in the lower SES group could help reduce socio-economic inequalities in health in the UK.</w:t>
      </w:r>
    </w:p>
    <w:p w14:paraId="4F042422" w14:textId="0755F6AA" w:rsidR="00E56164" w:rsidRDefault="00E56164">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14:paraId="07E48E76" w14:textId="77777777" w:rsidR="005A5D43" w:rsidRPr="00615171" w:rsidRDefault="005A5D43" w:rsidP="005A5D43">
      <w:pPr>
        <w:spacing w:after="0" w:line="240" w:lineRule="auto"/>
        <w:jc w:val="both"/>
        <w:rPr>
          <w:rFonts w:asciiTheme="majorBidi" w:hAnsiTheme="majorBidi" w:cstheme="majorBidi"/>
          <w:color w:val="000000" w:themeColor="text1"/>
          <w:sz w:val="24"/>
          <w:szCs w:val="24"/>
        </w:rPr>
      </w:pPr>
    </w:p>
    <w:p w14:paraId="560D2BDF" w14:textId="4E8D4610" w:rsidR="0074060A" w:rsidRPr="00615171" w:rsidRDefault="000103E3" w:rsidP="005A5D43">
      <w:pPr>
        <w:spacing w:after="0" w:line="240" w:lineRule="auto"/>
        <w:jc w:val="both"/>
        <w:rPr>
          <w:rFonts w:asciiTheme="majorBidi" w:hAnsiTheme="majorBidi" w:cstheme="majorBidi"/>
          <w:b/>
          <w:i/>
          <w:iCs/>
          <w:color w:val="000000" w:themeColor="text1"/>
          <w:sz w:val="24"/>
          <w:szCs w:val="24"/>
        </w:rPr>
      </w:pPr>
      <w:r w:rsidRPr="00615171">
        <w:rPr>
          <w:rFonts w:asciiTheme="majorBidi" w:hAnsiTheme="majorBidi" w:cstheme="majorBidi"/>
          <w:b/>
          <w:iCs/>
          <w:color w:val="000000" w:themeColor="text1"/>
          <w:sz w:val="24"/>
          <w:szCs w:val="24"/>
        </w:rPr>
        <w:t xml:space="preserve">Implications of the review for health policy and practice and for future research </w:t>
      </w:r>
    </w:p>
    <w:p w14:paraId="69E20617" w14:textId="77777777" w:rsidR="005A5D43" w:rsidRPr="00615171" w:rsidRDefault="005A5D43" w:rsidP="005A5D43">
      <w:pPr>
        <w:spacing w:after="0" w:line="240" w:lineRule="auto"/>
        <w:jc w:val="both"/>
        <w:rPr>
          <w:rFonts w:asciiTheme="majorBidi" w:hAnsiTheme="majorBidi" w:cstheme="majorBidi"/>
          <w:color w:val="000000" w:themeColor="text1"/>
          <w:sz w:val="24"/>
          <w:szCs w:val="24"/>
        </w:rPr>
      </w:pPr>
    </w:p>
    <w:p w14:paraId="718B0D8A" w14:textId="6A3A5F4D" w:rsidR="00B92E61" w:rsidRPr="00615171" w:rsidRDefault="00200ACC" w:rsidP="00E64ACE">
      <w:pPr>
        <w:spacing w:after="0" w:line="240" w:lineRule="auto"/>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SES plays important role in reducing health inequality in the UK</w:t>
      </w:r>
      <w:r w:rsidR="000103E3" w:rsidRPr="00615171">
        <w:rPr>
          <w:rFonts w:asciiTheme="majorBidi" w:hAnsiTheme="majorBidi" w:cstheme="majorBidi"/>
          <w:color w:val="000000" w:themeColor="text1"/>
          <w:sz w:val="24"/>
          <w:szCs w:val="24"/>
        </w:rPr>
        <w:t xml:space="preserve">.  However despite growing evidence of the need to collect routine and comprehensive </w:t>
      </w:r>
      <w:r w:rsidR="00B92E61" w:rsidRPr="00615171">
        <w:rPr>
          <w:rFonts w:asciiTheme="majorBidi" w:hAnsiTheme="majorBidi" w:cstheme="majorBidi"/>
          <w:color w:val="000000" w:themeColor="text1"/>
          <w:sz w:val="24"/>
          <w:szCs w:val="24"/>
        </w:rPr>
        <w:t>SES measures, there remains little agreement on which SES measures should be gathered</w:t>
      </w:r>
      <w:r w:rsidR="000103E3" w:rsidRPr="00615171">
        <w:rPr>
          <w:rFonts w:asciiTheme="majorBidi" w:hAnsiTheme="majorBidi" w:cstheme="majorBidi"/>
          <w:color w:val="000000" w:themeColor="text1"/>
          <w:sz w:val="24"/>
          <w:szCs w:val="24"/>
        </w:rPr>
        <w:t xml:space="preserve"> and how this can be achieved through a lifecourse approach particularly in relation to those which particularly affect </w:t>
      </w:r>
      <w:r w:rsidR="00B92E61" w:rsidRPr="00615171">
        <w:rPr>
          <w:rFonts w:asciiTheme="majorBidi" w:hAnsiTheme="majorBidi" w:cstheme="majorBidi"/>
          <w:color w:val="000000" w:themeColor="text1"/>
          <w:sz w:val="24"/>
          <w:szCs w:val="24"/>
        </w:rPr>
        <w:t>health outcomes such as occupation, education and household income.  Moreover, researchers have shown that these measures are not interchangeable and that the impact of any particular SES measure on health varies across social groups, gender and age.  The fact that various measures of SES may summa</w:t>
      </w:r>
      <w:r w:rsidR="000103E3" w:rsidRPr="00615171">
        <w:rPr>
          <w:rFonts w:asciiTheme="majorBidi" w:hAnsiTheme="majorBidi" w:cstheme="majorBidi"/>
          <w:color w:val="000000" w:themeColor="text1"/>
          <w:sz w:val="24"/>
          <w:szCs w:val="24"/>
        </w:rPr>
        <w:t>r</w:t>
      </w:r>
      <w:r w:rsidR="00B92E61" w:rsidRPr="00615171">
        <w:rPr>
          <w:rFonts w:asciiTheme="majorBidi" w:hAnsiTheme="majorBidi" w:cstheme="majorBidi"/>
          <w:color w:val="000000" w:themeColor="text1"/>
          <w:sz w:val="24"/>
          <w:szCs w:val="24"/>
        </w:rPr>
        <w:t xml:space="preserve">ize different components of overall health </w:t>
      </w:r>
      <w:r w:rsidR="000103E3" w:rsidRPr="00615171">
        <w:rPr>
          <w:rFonts w:asciiTheme="majorBidi" w:hAnsiTheme="majorBidi" w:cstheme="majorBidi"/>
          <w:color w:val="000000" w:themeColor="text1"/>
          <w:sz w:val="24"/>
          <w:szCs w:val="24"/>
        </w:rPr>
        <w:t>risk</w:t>
      </w:r>
      <w:r w:rsidR="00B92E61" w:rsidRPr="00615171">
        <w:rPr>
          <w:rFonts w:asciiTheme="majorBidi" w:hAnsiTheme="majorBidi" w:cstheme="majorBidi"/>
          <w:color w:val="000000" w:themeColor="text1"/>
          <w:sz w:val="24"/>
          <w:szCs w:val="24"/>
        </w:rPr>
        <w:t xml:space="preserve"> suggests that a </w:t>
      </w:r>
      <w:r w:rsidR="000103E3" w:rsidRPr="00615171">
        <w:rPr>
          <w:rFonts w:asciiTheme="majorBidi" w:hAnsiTheme="majorBidi" w:cstheme="majorBidi"/>
          <w:color w:val="000000" w:themeColor="text1"/>
          <w:sz w:val="24"/>
          <w:szCs w:val="24"/>
        </w:rPr>
        <w:t>systematic</w:t>
      </w:r>
      <w:r w:rsidR="00B92E61" w:rsidRPr="00615171">
        <w:rPr>
          <w:rFonts w:asciiTheme="majorBidi" w:hAnsiTheme="majorBidi" w:cstheme="majorBidi"/>
          <w:color w:val="000000" w:themeColor="text1"/>
          <w:sz w:val="24"/>
          <w:szCs w:val="24"/>
        </w:rPr>
        <w:t xml:space="preserve"> evaluation of the explanatory power of various SES measures is required before an effective set of optimal indicators can be created. This paper contributes to this examination by evaluating the relationship between a set of SES measures, available from both administrative and survey data sources and mortality </w:t>
      </w:r>
      <w:r w:rsidR="000103E3" w:rsidRPr="00615171">
        <w:rPr>
          <w:rFonts w:asciiTheme="majorBidi" w:hAnsiTheme="majorBidi" w:cstheme="majorBidi"/>
          <w:color w:val="000000" w:themeColor="text1"/>
          <w:sz w:val="24"/>
          <w:szCs w:val="24"/>
        </w:rPr>
        <w:t>in relation to their usefulness to examine the impact on health of older people in the UK.</w:t>
      </w:r>
      <w:r w:rsidR="00B92E61" w:rsidRPr="00615171">
        <w:rPr>
          <w:rFonts w:asciiTheme="majorBidi" w:hAnsiTheme="majorBidi" w:cstheme="majorBidi"/>
          <w:color w:val="000000" w:themeColor="text1"/>
          <w:sz w:val="24"/>
          <w:szCs w:val="24"/>
        </w:rPr>
        <w:t xml:space="preserve"> </w:t>
      </w:r>
      <w:r w:rsidR="000C44D2" w:rsidRPr="00615171">
        <w:rPr>
          <w:rFonts w:asciiTheme="majorBidi" w:hAnsiTheme="majorBidi" w:cstheme="majorBidi"/>
          <w:color w:val="000000" w:themeColor="text1"/>
          <w:sz w:val="24"/>
          <w:szCs w:val="24"/>
        </w:rPr>
        <w:t>Our</w:t>
      </w:r>
      <w:r w:rsidR="00B92E61" w:rsidRPr="00615171">
        <w:rPr>
          <w:rFonts w:asciiTheme="majorBidi" w:hAnsiTheme="majorBidi" w:cstheme="majorBidi"/>
          <w:color w:val="000000" w:themeColor="text1"/>
          <w:sz w:val="24"/>
          <w:szCs w:val="24"/>
        </w:rPr>
        <w:t xml:space="preserve"> analysis examines the </w:t>
      </w:r>
      <w:r w:rsidR="000C44D2" w:rsidRPr="00615171">
        <w:rPr>
          <w:rFonts w:asciiTheme="majorBidi" w:hAnsiTheme="majorBidi" w:cstheme="majorBidi"/>
          <w:color w:val="000000" w:themeColor="text1"/>
          <w:sz w:val="24"/>
          <w:szCs w:val="24"/>
        </w:rPr>
        <w:t xml:space="preserve">potential </w:t>
      </w:r>
      <w:r w:rsidR="00B92E61" w:rsidRPr="00615171">
        <w:rPr>
          <w:rFonts w:asciiTheme="majorBidi" w:hAnsiTheme="majorBidi" w:cstheme="majorBidi"/>
          <w:color w:val="000000" w:themeColor="text1"/>
          <w:sz w:val="24"/>
          <w:szCs w:val="24"/>
        </w:rPr>
        <w:t xml:space="preserve">predictive power </w:t>
      </w:r>
      <w:r w:rsidR="000C44D2" w:rsidRPr="00615171">
        <w:rPr>
          <w:rFonts w:asciiTheme="majorBidi" w:hAnsiTheme="majorBidi" w:cstheme="majorBidi"/>
          <w:color w:val="000000" w:themeColor="text1"/>
          <w:sz w:val="24"/>
          <w:szCs w:val="24"/>
        </w:rPr>
        <w:t>of selected</w:t>
      </w:r>
      <w:r w:rsidR="00B92E61" w:rsidRPr="00615171">
        <w:rPr>
          <w:rFonts w:asciiTheme="majorBidi" w:hAnsiTheme="majorBidi" w:cstheme="majorBidi"/>
          <w:color w:val="000000" w:themeColor="text1"/>
          <w:sz w:val="24"/>
          <w:szCs w:val="24"/>
        </w:rPr>
        <w:t xml:space="preserve"> SES measures and confirms previous research on the links between SES measures and health in later</w:t>
      </w:r>
      <w:r w:rsidR="000C44D2" w:rsidRPr="00615171">
        <w:rPr>
          <w:rFonts w:asciiTheme="majorBidi" w:hAnsiTheme="majorBidi" w:cstheme="majorBidi"/>
          <w:color w:val="000000" w:themeColor="text1"/>
          <w:sz w:val="24"/>
          <w:szCs w:val="24"/>
        </w:rPr>
        <w:t xml:space="preserve"> </w:t>
      </w:r>
      <w:r w:rsidR="00B92E61" w:rsidRPr="00615171">
        <w:rPr>
          <w:rFonts w:asciiTheme="majorBidi" w:hAnsiTheme="majorBidi" w:cstheme="majorBidi"/>
          <w:color w:val="000000" w:themeColor="text1"/>
          <w:sz w:val="24"/>
          <w:szCs w:val="24"/>
        </w:rPr>
        <w:t xml:space="preserve">life. We suggest that the economic components of SES should be a standard feature of </w:t>
      </w:r>
      <w:r w:rsidR="000C44D2" w:rsidRPr="00615171">
        <w:rPr>
          <w:rFonts w:asciiTheme="majorBidi" w:hAnsiTheme="majorBidi" w:cstheme="majorBidi"/>
          <w:color w:val="000000" w:themeColor="text1"/>
          <w:sz w:val="24"/>
          <w:szCs w:val="24"/>
        </w:rPr>
        <w:t>a nationally agreed</w:t>
      </w:r>
      <w:r w:rsidR="00B92E61" w:rsidRPr="00615171">
        <w:rPr>
          <w:rFonts w:asciiTheme="majorBidi" w:hAnsiTheme="majorBidi" w:cstheme="majorBidi"/>
          <w:color w:val="000000" w:themeColor="text1"/>
          <w:sz w:val="24"/>
          <w:szCs w:val="24"/>
        </w:rPr>
        <w:t xml:space="preserve"> measurement system for monitoring links between SES and health</w:t>
      </w:r>
      <w:r w:rsidR="000C44D2" w:rsidRPr="00615171">
        <w:rPr>
          <w:rFonts w:asciiTheme="majorBidi" w:hAnsiTheme="majorBidi" w:cstheme="majorBidi"/>
          <w:color w:val="000000" w:themeColor="text1"/>
          <w:sz w:val="24"/>
          <w:szCs w:val="24"/>
        </w:rPr>
        <w:t xml:space="preserve"> and between SES</w:t>
      </w:r>
      <w:r w:rsidR="00B92E61" w:rsidRPr="00615171">
        <w:rPr>
          <w:rFonts w:asciiTheme="majorBidi" w:hAnsiTheme="majorBidi" w:cstheme="majorBidi"/>
          <w:color w:val="000000" w:themeColor="text1"/>
          <w:sz w:val="24"/>
          <w:szCs w:val="24"/>
        </w:rPr>
        <w:t>.</w:t>
      </w:r>
    </w:p>
    <w:p w14:paraId="54A5DC35" w14:textId="77777777" w:rsidR="00200ACC" w:rsidRPr="00615171" w:rsidRDefault="00200ACC" w:rsidP="009700F4">
      <w:pPr>
        <w:spacing w:after="0" w:line="240" w:lineRule="auto"/>
        <w:jc w:val="both"/>
        <w:rPr>
          <w:rFonts w:asciiTheme="majorBidi" w:hAnsiTheme="majorBidi" w:cstheme="majorBidi"/>
          <w:color w:val="000000" w:themeColor="text1"/>
          <w:sz w:val="24"/>
          <w:szCs w:val="24"/>
        </w:rPr>
      </w:pPr>
    </w:p>
    <w:p w14:paraId="24B6FC67" w14:textId="5C66F532" w:rsidR="00706194" w:rsidRPr="00615171" w:rsidRDefault="00706194" w:rsidP="009700F4">
      <w:pPr>
        <w:spacing w:after="0" w:line="240" w:lineRule="auto"/>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Some of the </w:t>
      </w:r>
      <w:r w:rsidR="000C44D2" w:rsidRPr="00615171">
        <w:rPr>
          <w:rFonts w:asciiTheme="majorBidi" w:hAnsiTheme="majorBidi" w:cstheme="majorBidi"/>
          <w:color w:val="000000" w:themeColor="text1"/>
          <w:sz w:val="24"/>
          <w:szCs w:val="24"/>
        </w:rPr>
        <w:t>e</w:t>
      </w:r>
      <w:r w:rsidRPr="00615171">
        <w:rPr>
          <w:rFonts w:asciiTheme="majorBidi" w:hAnsiTheme="majorBidi" w:cstheme="majorBidi"/>
          <w:color w:val="000000" w:themeColor="text1"/>
          <w:sz w:val="24"/>
          <w:szCs w:val="24"/>
        </w:rPr>
        <w:t xml:space="preserve">vidence in this paper supports the claim that health care use is </w:t>
      </w:r>
      <w:r w:rsidR="000C44D2" w:rsidRPr="00615171">
        <w:rPr>
          <w:rFonts w:asciiTheme="majorBidi" w:hAnsiTheme="majorBidi" w:cstheme="majorBidi"/>
          <w:color w:val="000000" w:themeColor="text1"/>
          <w:sz w:val="24"/>
          <w:szCs w:val="24"/>
        </w:rPr>
        <w:t xml:space="preserve">also </w:t>
      </w:r>
      <w:r w:rsidRPr="00615171">
        <w:rPr>
          <w:rFonts w:asciiTheme="majorBidi" w:hAnsiTheme="majorBidi" w:cstheme="majorBidi"/>
          <w:color w:val="000000" w:themeColor="text1"/>
          <w:sz w:val="24"/>
          <w:szCs w:val="24"/>
        </w:rPr>
        <w:t xml:space="preserve">inequitable and that equity </w:t>
      </w:r>
      <w:r w:rsidR="000C44D2" w:rsidRPr="00615171">
        <w:rPr>
          <w:rFonts w:asciiTheme="majorBidi" w:hAnsiTheme="majorBidi" w:cstheme="majorBidi"/>
          <w:color w:val="000000" w:themeColor="text1"/>
          <w:sz w:val="24"/>
          <w:szCs w:val="24"/>
        </w:rPr>
        <w:t xml:space="preserve">of access, use and outcomes </w:t>
      </w:r>
      <w:r w:rsidRPr="00615171">
        <w:rPr>
          <w:rFonts w:asciiTheme="majorBidi" w:hAnsiTheme="majorBidi" w:cstheme="majorBidi"/>
          <w:color w:val="000000" w:themeColor="text1"/>
          <w:sz w:val="24"/>
          <w:szCs w:val="24"/>
        </w:rPr>
        <w:t xml:space="preserve">in service use is another area for further enquiry using SES indicators. </w:t>
      </w:r>
      <w:r w:rsidR="000C44D2" w:rsidRPr="00615171">
        <w:rPr>
          <w:rFonts w:asciiTheme="majorBidi" w:hAnsiTheme="majorBidi" w:cstheme="majorBidi"/>
          <w:color w:val="000000" w:themeColor="text1"/>
          <w:sz w:val="24"/>
          <w:szCs w:val="24"/>
        </w:rPr>
        <w:t xml:space="preserve">Those involved in policy and provision of health care will need to pay more attention to capture data on the access and pattern of use of health and related services used by older people as well as to the existence of health inequalities in order to formulate strategies and interventions to address these. </w:t>
      </w:r>
    </w:p>
    <w:p w14:paraId="26582942" w14:textId="77777777" w:rsidR="000C44D2" w:rsidRPr="00615171" w:rsidRDefault="000C44D2" w:rsidP="009700F4">
      <w:pPr>
        <w:spacing w:after="0" w:line="240" w:lineRule="auto"/>
        <w:jc w:val="both"/>
        <w:rPr>
          <w:rFonts w:asciiTheme="majorBidi" w:hAnsiTheme="majorBidi" w:cstheme="majorBidi"/>
          <w:color w:val="000000" w:themeColor="text1"/>
          <w:sz w:val="24"/>
          <w:szCs w:val="24"/>
        </w:rPr>
      </w:pPr>
    </w:p>
    <w:p w14:paraId="1F10855C" w14:textId="5506C131" w:rsidR="005A5D43" w:rsidRPr="00615171" w:rsidRDefault="000C44D2" w:rsidP="009700F4">
      <w:pPr>
        <w:spacing w:after="0" w:line="240" w:lineRule="auto"/>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Successive UK governments frequently cite the ‘crisis’ of an increasingly ageing population on our society and the implications of subsequent health and support costs.  However, as some of the findings from this paper has suggested, whilst the ageing experience can be an individual one, an older persons health and life chances are affected by a complex range of factors involving not only biological, medical and psychosocial, but </w:t>
      </w:r>
      <w:r w:rsidR="008F2ACD" w:rsidRPr="00615171">
        <w:rPr>
          <w:rFonts w:asciiTheme="majorBidi" w:hAnsiTheme="majorBidi" w:cstheme="majorBidi"/>
          <w:color w:val="000000" w:themeColor="text1"/>
          <w:sz w:val="24"/>
          <w:szCs w:val="24"/>
        </w:rPr>
        <w:t xml:space="preserve">there exists </w:t>
      </w:r>
      <w:r w:rsidRPr="00615171">
        <w:rPr>
          <w:rFonts w:asciiTheme="majorBidi" w:hAnsiTheme="majorBidi" w:cstheme="majorBidi"/>
          <w:color w:val="000000" w:themeColor="text1"/>
          <w:sz w:val="24"/>
          <w:szCs w:val="24"/>
        </w:rPr>
        <w:t xml:space="preserve">a wealth of </w:t>
      </w:r>
      <w:r w:rsidR="008F2ACD" w:rsidRPr="00615171">
        <w:rPr>
          <w:rFonts w:asciiTheme="majorBidi" w:hAnsiTheme="majorBidi" w:cstheme="majorBidi"/>
          <w:color w:val="000000" w:themeColor="text1"/>
          <w:sz w:val="24"/>
          <w:szCs w:val="24"/>
        </w:rPr>
        <w:t xml:space="preserve">potential </w:t>
      </w:r>
      <w:r w:rsidRPr="00615171">
        <w:rPr>
          <w:rFonts w:asciiTheme="majorBidi" w:hAnsiTheme="majorBidi" w:cstheme="majorBidi"/>
          <w:color w:val="000000" w:themeColor="text1"/>
          <w:sz w:val="24"/>
          <w:szCs w:val="24"/>
        </w:rPr>
        <w:t xml:space="preserve">observational and epidemiological data </w:t>
      </w:r>
      <w:r w:rsidR="008F2ACD" w:rsidRPr="00615171">
        <w:rPr>
          <w:rFonts w:asciiTheme="majorBidi" w:hAnsiTheme="majorBidi" w:cstheme="majorBidi"/>
          <w:color w:val="000000" w:themeColor="text1"/>
          <w:sz w:val="24"/>
          <w:szCs w:val="24"/>
        </w:rPr>
        <w:t>which will enable policy makers to understand how successful</w:t>
      </w:r>
      <w:r w:rsidRPr="00615171">
        <w:rPr>
          <w:rFonts w:asciiTheme="majorBidi" w:hAnsiTheme="majorBidi" w:cstheme="majorBidi"/>
          <w:color w:val="000000" w:themeColor="text1"/>
          <w:sz w:val="24"/>
          <w:szCs w:val="24"/>
        </w:rPr>
        <w:t xml:space="preserve"> ageing and wellbeing in later life is strongly influenced through </w:t>
      </w:r>
      <w:r w:rsidR="008F2ACD" w:rsidRPr="00615171">
        <w:rPr>
          <w:rFonts w:asciiTheme="majorBidi" w:hAnsiTheme="majorBidi" w:cstheme="majorBidi"/>
          <w:color w:val="000000" w:themeColor="text1"/>
          <w:sz w:val="24"/>
          <w:szCs w:val="24"/>
        </w:rPr>
        <w:t xml:space="preserve">a </w:t>
      </w:r>
      <w:r w:rsidRPr="00615171">
        <w:rPr>
          <w:rFonts w:asciiTheme="majorBidi" w:hAnsiTheme="majorBidi" w:cstheme="majorBidi"/>
          <w:color w:val="000000" w:themeColor="text1"/>
          <w:sz w:val="24"/>
          <w:szCs w:val="24"/>
        </w:rPr>
        <w:t xml:space="preserve">lifecourse </w:t>
      </w:r>
      <w:r w:rsidR="008F2ACD" w:rsidRPr="00615171">
        <w:rPr>
          <w:rFonts w:asciiTheme="majorBidi" w:hAnsiTheme="majorBidi" w:cstheme="majorBidi"/>
          <w:color w:val="000000" w:themeColor="text1"/>
          <w:sz w:val="24"/>
          <w:szCs w:val="24"/>
        </w:rPr>
        <w:t>approach</w:t>
      </w:r>
      <w:r w:rsidRPr="00615171">
        <w:rPr>
          <w:rFonts w:asciiTheme="majorBidi" w:hAnsiTheme="majorBidi" w:cstheme="majorBidi"/>
          <w:color w:val="000000" w:themeColor="text1"/>
          <w:sz w:val="24"/>
          <w:szCs w:val="24"/>
        </w:rPr>
        <w:t xml:space="preserve">. </w:t>
      </w:r>
      <w:r w:rsidR="008F2ACD" w:rsidRPr="00615171">
        <w:rPr>
          <w:rFonts w:asciiTheme="majorBidi" w:hAnsiTheme="majorBidi" w:cstheme="majorBidi"/>
          <w:color w:val="000000" w:themeColor="text1"/>
          <w:sz w:val="24"/>
          <w:szCs w:val="24"/>
        </w:rPr>
        <w:t xml:space="preserve">There is a worrying lack of evidence alongside these about what interventions might be effective in reducing inequalities but also to support continual adjustments that individuals are going to have to make to their health and quality of life through changing circumstances amongst those from lower SES. Gaining further evidence in a coherent and continuous way will be essential to develop, justify and evaluate more effective interventions. </w:t>
      </w:r>
      <w:r w:rsidR="00913415" w:rsidRPr="00615171">
        <w:rPr>
          <w:rFonts w:asciiTheme="majorBidi" w:hAnsiTheme="majorBidi" w:cstheme="majorBidi"/>
          <w:color w:val="000000" w:themeColor="text1"/>
          <w:sz w:val="24"/>
          <w:szCs w:val="24"/>
        </w:rPr>
        <w:t>As we have seen in this paper, d</w:t>
      </w:r>
      <w:r w:rsidR="008F2ACD" w:rsidRPr="00615171">
        <w:rPr>
          <w:rFonts w:asciiTheme="majorBidi" w:hAnsiTheme="majorBidi" w:cstheme="majorBidi"/>
          <w:color w:val="000000" w:themeColor="text1"/>
          <w:sz w:val="24"/>
          <w:szCs w:val="24"/>
        </w:rPr>
        <w:t xml:space="preserve">ifferential access to resources may </w:t>
      </w:r>
      <w:r w:rsidR="00913415" w:rsidRPr="00615171">
        <w:rPr>
          <w:rFonts w:asciiTheme="majorBidi" w:hAnsiTheme="majorBidi" w:cstheme="majorBidi"/>
          <w:color w:val="000000" w:themeColor="text1"/>
          <w:sz w:val="24"/>
          <w:szCs w:val="24"/>
        </w:rPr>
        <w:t xml:space="preserve">also </w:t>
      </w:r>
      <w:r w:rsidR="008F2ACD" w:rsidRPr="00615171">
        <w:rPr>
          <w:rFonts w:asciiTheme="majorBidi" w:hAnsiTheme="majorBidi" w:cstheme="majorBidi"/>
          <w:color w:val="000000" w:themeColor="text1"/>
          <w:sz w:val="24"/>
          <w:szCs w:val="24"/>
        </w:rPr>
        <w:t xml:space="preserve">be a determinant but in itself also subject to a complex interacting network of factors that need to be understood in sufficient detail so as to be made the target of policy and practice interventions associated with improving the health and wellbeing of older </w:t>
      </w:r>
      <w:r w:rsidR="00913415" w:rsidRPr="00615171">
        <w:rPr>
          <w:rFonts w:asciiTheme="majorBidi" w:hAnsiTheme="majorBidi" w:cstheme="majorBidi"/>
          <w:color w:val="000000" w:themeColor="text1"/>
          <w:sz w:val="24"/>
          <w:szCs w:val="24"/>
        </w:rPr>
        <w:t xml:space="preserve">all older </w:t>
      </w:r>
      <w:r w:rsidR="008F2ACD" w:rsidRPr="00615171">
        <w:rPr>
          <w:rFonts w:asciiTheme="majorBidi" w:hAnsiTheme="majorBidi" w:cstheme="majorBidi"/>
          <w:color w:val="000000" w:themeColor="text1"/>
          <w:sz w:val="24"/>
          <w:szCs w:val="24"/>
        </w:rPr>
        <w:t xml:space="preserve">people in the UK.  </w:t>
      </w:r>
      <w:r w:rsidR="00773FF7" w:rsidRPr="00615171">
        <w:rPr>
          <w:rFonts w:asciiTheme="majorBidi" w:hAnsiTheme="majorBidi" w:cstheme="majorBidi"/>
          <w:color w:val="000000" w:themeColor="text1"/>
          <w:sz w:val="24"/>
          <w:szCs w:val="24"/>
        </w:rPr>
        <w:t>Furthermore, interventions should ideally be assessed for their efficacy and co</w:t>
      </w:r>
      <w:r w:rsidR="008F2ACD" w:rsidRPr="00615171">
        <w:rPr>
          <w:rFonts w:asciiTheme="majorBidi" w:hAnsiTheme="majorBidi" w:cstheme="majorBidi"/>
          <w:color w:val="000000" w:themeColor="text1"/>
          <w:sz w:val="24"/>
          <w:szCs w:val="24"/>
        </w:rPr>
        <w:t>s</w:t>
      </w:r>
      <w:r w:rsidR="00773FF7" w:rsidRPr="00615171">
        <w:rPr>
          <w:rFonts w:asciiTheme="majorBidi" w:hAnsiTheme="majorBidi" w:cstheme="majorBidi"/>
          <w:color w:val="000000" w:themeColor="text1"/>
          <w:sz w:val="24"/>
          <w:szCs w:val="24"/>
        </w:rPr>
        <w:t xml:space="preserve">t effectiveness with the same rigour as </w:t>
      </w:r>
      <w:r w:rsidR="00913415" w:rsidRPr="00615171">
        <w:rPr>
          <w:rFonts w:asciiTheme="majorBidi" w:hAnsiTheme="majorBidi" w:cstheme="majorBidi"/>
          <w:color w:val="000000" w:themeColor="text1"/>
          <w:sz w:val="24"/>
          <w:szCs w:val="24"/>
        </w:rPr>
        <w:t>is used in the scientific research into health issues impacting on older people.</w:t>
      </w:r>
      <w:r w:rsidR="00294DE3" w:rsidRPr="00615171">
        <w:rPr>
          <w:rFonts w:asciiTheme="majorBidi" w:hAnsiTheme="majorBidi" w:cstheme="majorBidi"/>
          <w:color w:val="000000" w:themeColor="text1"/>
          <w:sz w:val="24"/>
          <w:szCs w:val="24"/>
        </w:rPr>
        <w:t xml:space="preserve">  </w:t>
      </w:r>
      <w:r w:rsidR="008F2ACD" w:rsidRPr="00615171">
        <w:rPr>
          <w:rFonts w:asciiTheme="majorBidi" w:hAnsiTheme="majorBidi" w:cstheme="majorBidi"/>
          <w:color w:val="000000" w:themeColor="text1"/>
          <w:sz w:val="24"/>
          <w:szCs w:val="24"/>
        </w:rPr>
        <w:t xml:space="preserve">Having baseline data to assess and measure progress may go a long way to avoid </w:t>
      </w:r>
      <w:r w:rsidR="00913415" w:rsidRPr="00615171">
        <w:rPr>
          <w:rFonts w:asciiTheme="majorBidi" w:hAnsiTheme="majorBidi" w:cstheme="majorBidi"/>
          <w:color w:val="000000" w:themeColor="text1"/>
          <w:sz w:val="24"/>
          <w:szCs w:val="24"/>
        </w:rPr>
        <w:lastRenderedPageBreak/>
        <w:t>such ‘</w:t>
      </w:r>
      <w:r w:rsidR="008F2ACD" w:rsidRPr="00615171">
        <w:rPr>
          <w:rFonts w:asciiTheme="majorBidi" w:hAnsiTheme="majorBidi" w:cstheme="majorBidi"/>
          <w:color w:val="000000" w:themeColor="text1"/>
          <w:sz w:val="24"/>
          <w:szCs w:val="24"/>
        </w:rPr>
        <w:t>crises</w:t>
      </w:r>
      <w:r w:rsidR="00913415" w:rsidRPr="00615171">
        <w:rPr>
          <w:rFonts w:asciiTheme="majorBidi" w:hAnsiTheme="majorBidi" w:cstheme="majorBidi"/>
          <w:color w:val="000000" w:themeColor="text1"/>
          <w:sz w:val="24"/>
          <w:szCs w:val="24"/>
        </w:rPr>
        <w:t>’</w:t>
      </w:r>
      <w:r w:rsidR="008F2ACD" w:rsidRPr="00615171">
        <w:rPr>
          <w:rFonts w:asciiTheme="majorBidi" w:hAnsiTheme="majorBidi" w:cstheme="majorBidi"/>
          <w:color w:val="000000" w:themeColor="text1"/>
          <w:sz w:val="24"/>
          <w:szCs w:val="24"/>
        </w:rPr>
        <w:t xml:space="preserve"> as well as providing a moral imperative to promote a better more healthier ageing population.</w:t>
      </w:r>
    </w:p>
    <w:p w14:paraId="7A9D72DE" w14:textId="65C180DC" w:rsidR="00FE4580" w:rsidRPr="00615171" w:rsidRDefault="00FE4580" w:rsidP="00623739">
      <w:pPr>
        <w:spacing w:after="0" w:line="240" w:lineRule="auto"/>
        <w:ind w:firstLine="720"/>
        <w:jc w:val="both"/>
        <w:rPr>
          <w:rFonts w:asciiTheme="majorBidi" w:hAnsiTheme="majorBidi" w:cstheme="majorBidi"/>
          <w:color w:val="000000" w:themeColor="text1"/>
          <w:sz w:val="24"/>
          <w:szCs w:val="24"/>
        </w:rPr>
      </w:pPr>
    </w:p>
    <w:p w14:paraId="33FFEADC" w14:textId="77777777" w:rsidR="000E5BEA" w:rsidRPr="00615171" w:rsidRDefault="000E5BEA" w:rsidP="0084053D">
      <w:pPr>
        <w:spacing w:after="0" w:line="240" w:lineRule="auto"/>
        <w:jc w:val="center"/>
        <w:rPr>
          <w:rFonts w:asciiTheme="majorBidi" w:hAnsiTheme="majorBidi" w:cstheme="majorBidi"/>
          <w:b/>
          <w:color w:val="000000" w:themeColor="text1"/>
          <w:sz w:val="24"/>
          <w:szCs w:val="24"/>
        </w:rPr>
      </w:pPr>
    </w:p>
    <w:p w14:paraId="50A814A0" w14:textId="0A8A918D" w:rsidR="00CD1972" w:rsidRPr="00615171" w:rsidRDefault="0084053D" w:rsidP="0084053D">
      <w:pPr>
        <w:spacing w:after="0" w:line="240" w:lineRule="auto"/>
        <w:jc w:val="center"/>
        <w:rPr>
          <w:rFonts w:asciiTheme="majorBidi" w:hAnsiTheme="majorBidi" w:cstheme="majorBidi"/>
          <w:b/>
          <w:color w:val="000000" w:themeColor="text1"/>
          <w:sz w:val="24"/>
          <w:szCs w:val="24"/>
        </w:rPr>
      </w:pPr>
      <w:r w:rsidRPr="00615171">
        <w:rPr>
          <w:rFonts w:asciiTheme="majorBidi" w:hAnsiTheme="majorBidi" w:cstheme="majorBidi"/>
          <w:b/>
          <w:color w:val="000000" w:themeColor="text1"/>
          <w:sz w:val="24"/>
          <w:szCs w:val="24"/>
        </w:rPr>
        <w:t>REFERENCE</w:t>
      </w:r>
      <w:r w:rsidR="00113835" w:rsidRPr="00615171">
        <w:rPr>
          <w:rFonts w:asciiTheme="majorBidi" w:hAnsiTheme="majorBidi" w:cstheme="majorBidi"/>
          <w:b/>
          <w:color w:val="000000" w:themeColor="text1"/>
          <w:sz w:val="24"/>
          <w:szCs w:val="24"/>
        </w:rPr>
        <w:t>S</w:t>
      </w:r>
    </w:p>
    <w:p w14:paraId="71908235" w14:textId="77777777" w:rsidR="00623739" w:rsidRPr="00615171" w:rsidRDefault="00623739" w:rsidP="00623739">
      <w:pPr>
        <w:spacing w:after="0" w:line="240" w:lineRule="auto"/>
        <w:jc w:val="both"/>
        <w:rPr>
          <w:rFonts w:asciiTheme="majorBidi" w:hAnsiTheme="majorBidi" w:cstheme="majorBidi"/>
          <w:b/>
          <w:color w:val="000000" w:themeColor="text1"/>
          <w:sz w:val="24"/>
          <w:szCs w:val="24"/>
        </w:rPr>
      </w:pPr>
    </w:p>
    <w:p w14:paraId="093DFBD7" w14:textId="3F019F4E" w:rsidR="009D3671" w:rsidRPr="00615171" w:rsidRDefault="009D3671" w:rsidP="00623739">
      <w:pPr>
        <w:shd w:val="clear" w:color="auto" w:fill="FFFFFF"/>
        <w:spacing w:after="0" w:line="240" w:lineRule="auto"/>
        <w:ind w:right="24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Action on hearing loss</w:t>
      </w:r>
      <w:r w:rsidR="004B2E77"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(2012). Statistical Bulletin.</w:t>
      </w:r>
      <w:r w:rsidRPr="00615171">
        <w:rPr>
          <w:rStyle w:val="apple-converted-space"/>
          <w:rFonts w:asciiTheme="majorBidi" w:hAnsiTheme="majorBidi" w:cstheme="majorBidi"/>
          <w:color w:val="000000" w:themeColor="text1"/>
          <w:sz w:val="24"/>
          <w:szCs w:val="24"/>
        </w:rPr>
        <w:t> </w:t>
      </w:r>
      <w:hyperlink r:id="rId16" w:history="1">
        <w:r w:rsidRPr="00615171">
          <w:rPr>
            <w:rStyle w:val="Hyperlink"/>
            <w:rFonts w:asciiTheme="majorBidi" w:hAnsiTheme="majorBidi" w:cstheme="majorBidi"/>
            <w:color w:val="000000" w:themeColor="text1"/>
            <w:sz w:val="24"/>
            <w:szCs w:val="24"/>
          </w:rPr>
          <w:t>Facts and figures on hearing loss</w:t>
        </w:r>
      </w:hyperlink>
      <w:r w:rsidRPr="00615171">
        <w:rPr>
          <w:rStyle w:val="Hyperlink"/>
          <w:rFonts w:asciiTheme="majorBidi" w:hAnsiTheme="majorBidi" w:cstheme="majorBidi"/>
          <w:color w:val="000000" w:themeColor="text1"/>
          <w:sz w:val="24"/>
          <w:szCs w:val="24"/>
        </w:rPr>
        <w:t>.</w:t>
      </w:r>
    </w:p>
    <w:p w14:paraId="468EC5AB" w14:textId="34D4FB92" w:rsidR="00236433" w:rsidRPr="00615171" w:rsidRDefault="00236433" w:rsidP="002D480F">
      <w:pPr>
        <w:spacing w:after="0" w:line="240" w:lineRule="auto"/>
        <w:ind w:left="720" w:hanging="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Adler, N. E.,</w:t>
      </w:r>
      <w:r w:rsidR="00B72C89"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Boyce,</w:t>
      </w:r>
      <w:r w:rsidR="00B72C89" w:rsidRPr="00615171">
        <w:rPr>
          <w:rFonts w:asciiTheme="majorBidi" w:hAnsiTheme="majorBidi" w:cstheme="majorBidi"/>
          <w:color w:val="000000" w:themeColor="text1"/>
          <w:sz w:val="24"/>
          <w:szCs w:val="24"/>
        </w:rPr>
        <w:t xml:space="preserve"> T., </w:t>
      </w:r>
      <w:r w:rsidRPr="00615171">
        <w:rPr>
          <w:rFonts w:asciiTheme="majorBidi" w:hAnsiTheme="majorBidi" w:cstheme="majorBidi"/>
          <w:color w:val="000000" w:themeColor="text1"/>
          <w:sz w:val="24"/>
          <w:szCs w:val="24"/>
        </w:rPr>
        <w:t>Chesney,</w:t>
      </w:r>
      <w:r w:rsidR="00B72C89" w:rsidRPr="00615171">
        <w:rPr>
          <w:rFonts w:asciiTheme="majorBidi" w:hAnsiTheme="majorBidi" w:cstheme="majorBidi"/>
          <w:color w:val="000000" w:themeColor="text1"/>
          <w:sz w:val="24"/>
          <w:szCs w:val="24"/>
        </w:rPr>
        <w:t xml:space="preserve"> M. A., </w:t>
      </w:r>
      <w:r w:rsidRPr="00615171">
        <w:rPr>
          <w:rFonts w:asciiTheme="majorBidi" w:hAnsiTheme="majorBidi" w:cstheme="majorBidi"/>
          <w:color w:val="000000" w:themeColor="text1"/>
          <w:sz w:val="24"/>
          <w:szCs w:val="24"/>
        </w:rPr>
        <w:t>Cohen,</w:t>
      </w:r>
      <w:r w:rsidR="00B72C89" w:rsidRPr="00615171">
        <w:rPr>
          <w:rFonts w:asciiTheme="majorBidi" w:hAnsiTheme="majorBidi" w:cstheme="majorBidi"/>
          <w:color w:val="000000" w:themeColor="text1"/>
          <w:sz w:val="24"/>
          <w:szCs w:val="24"/>
        </w:rPr>
        <w:t xml:space="preserve"> S., </w:t>
      </w:r>
      <w:r w:rsidRPr="00615171">
        <w:rPr>
          <w:rFonts w:asciiTheme="majorBidi" w:hAnsiTheme="majorBidi" w:cstheme="majorBidi"/>
          <w:color w:val="000000" w:themeColor="text1"/>
          <w:sz w:val="24"/>
          <w:szCs w:val="24"/>
        </w:rPr>
        <w:t>Folkman,</w:t>
      </w:r>
      <w:r w:rsidR="00B72C89" w:rsidRPr="00615171">
        <w:rPr>
          <w:rFonts w:asciiTheme="majorBidi" w:hAnsiTheme="majorBidi" w:cstheme="majorBidi"/>
          <w:color w:val="000000" w:themeColor="text1"/>
          <w:sz w:val="24"/>
          <w:szCs w:val="24"/>
        </w:rPr>
        <w:t xml:space="preserve"> S., </w:t>
      </w:r>
      <w:r w:rsidRPr="00615171">
        <w:rPr>
          <w:rFonts w:asciiTheme="majorBidi" w:hAnsiTheme="majorBidi" w:cstheme="majorBidi"/>
          <w:color w:val="000000" w:themeColor="text1"/>
          <w:sz w:val="24"/>
          <w:szCs w:val="24"/>
        </w:rPr>
        <w:t>Kahn,</w:t>
      </w:r>
      <w:r w:rsidR="00B72C89" w:rsidRPr="00615171">
        <w:rPr>
          <w:rFonts w:asciiTheme="majorBidi" w:hAnsiTheme="majorBidi" w:cstheme="majorBidi"/>
          <w:color w:val="000000" w:themeColor="text1"/>
          <w:sz w:val="24"/>
          <w:szCs w:val="24"/>
        </w:rPr>
        <w:t xml:space="preserve"> R. L. and Syme, S.L.</w:t>
      </w:r>
      <w:r w:rsidRPr="00615171">
        <w:rPr>
          <w:rFonts w:asciiTheme="majorBidi" w:hAnsiTheme="majorBidi" w:cstheme="majorBidi"/>
          <w:color w:val="000000" w:themeColor="text1"/>
          <w:sz w:val="24"/>
          <w:szCs w:val="24"/>
        </w:rPr>
        <w:t xml:space="preserve"> </w:t>
      </w:r>
      <w:r w:rsidR="00B72C89" w:rsidRPr="00615171">
        <w:rPr>
          <w:rFonts w:asciiTheme="majorBidi" w:hAnsiTheme="majorBidi" w:cstheme="majorBidi"/>
          <w:color w:val="000000" w:themeColor="text1"/>
          <w:sz w:val="24"/>
          <w:szCs w:val="24"/>
        </w:rPr>
        <w:t>(1994)</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‘Socioeconomic status and health,</w:t>
      </w:r>
      <w:r w:rsidR="00766C5A" w:rsidRPr="00615171">
        <w:rPr>
          <w:rFonts w:asciiTheme="majorBidi" w:hAnsiTheme="majorBidi" w:cstheme="majorBidi"/>
          <w:color w:val="000000" w:themeColor="text1"/>
          <w:sz w:val="24"/>
          <w:szCs w:val="24"/>
        </w:rPr>
        <w:t xml:space="preserve"> the challenge of the gradient’, </w:t>
      </w:r>
      <w:r w:rsidR="00766C5A" w:rsidRPr="00615171">
        <w:rPr>
          <w:rFonts w:asciiTheme="majorBidi" w:hAnsiTheme="majorBidi" w:cstheme="majorBidi"/>
          <w:i/>
          <w:color w:val="000000" w:themeColor="text1"/>
          <w:sz w:val="24"/>
          <w:szCs w:val="24"/>
        </w:rPr>
        <w:t>American Psychologist</w:t>
      </w:r>
      <w:r w:rsidR="00766C5A" w:rsidRPr="00615171">
        <w:rPr>
          <w:rFonts w:asciiTheme="majorBidi" w:hAnsiTheme="majorBidi" w:cstheme="majorBidi"/>
          <w:color w:val="000000" w:themeColor="text1"/>
          <w:sz w:val="24"/>
          <w:szCs w:val="24"/>
        </w:rPr>
        <w:t xml:space="preserve"> 49(</w:t>
      </w:r>
      <w:r w:rsidRPr="00615171">
        <w:rPr>
          <w:rFonts w:asciiTheme="majorBidi" w:hAnsiTheme="majorBidi" w:cstheme="majorBidi"/>
          <w:color w:val="000000" w:themeColor="text1"/>
          <w:sz w:val="24"/>
          <w:szCs w:val="24"/>
        </w:rPr>
        <w:t>1</w:t>
      </w:r>
      <w:r w:rsidR="00766C5A" w:rsidRPr="00615171">
        <w:rPr>
          <w:rFonts w:asciiTheme="majorBidi" w:hAnsiTheme="majorBidi" w:cstheme="majorBidi"/>
          <w:color w:val="000000" w:themeColor="text1"/>
          <w:sz w:val="24"/>
          <w:szCs w:val="24"/>
        </w:rPr>
        <w:t>)</w:t>
      </w:r>
      <w:r w:rsidR="00420F1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15-24.</w:t>
      </w:r>
    </w:p>
    <w:p w14:paraId="0D813D5B" w14:textId="0DA56DB8" w:rsidR="0037617B" w:rsidRPr="00615171" w:rsidRDefault="0037617B" w:rsidP="002D480F">
      <w:pPr>
        <w:spacing w:after="0" w:line="240" w:lineRule="auto"/>
        <w:ind w:left="720" w:hanging="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Aldridge,</w:t>
      </w:r>
      <w:r w:rsidR="00913415" w:rsidRPr="00615171">
        <w:rPr>
          <w:rFonts w:asciiTheme="majorBidi" w:hAnsiTheme="majorBidi" w:cstheme="majorBidi"/>
          <w:color w:val="000000" w:themeColor="text1"/>
          <w:sz w:val="24"/>
          <w:szCs w:val="24"/>
        </w:rPr>
        <w:t xml:space="preserve"> F.</w:t>
      </w:r>
      <w:proofErr w:type="gramStart"/>
      <w:r w:rsidR="00913415"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 xml:space="preserve"> Lavender</w:t>
      </w:r>
      <w:proofErr w:type="gramEnd"/>
      <w:r w:rsidR="00913415" w:rsidRPr="00615171">
        <w:rPr>
          <w:rFonts w:asciiTheme="majorBidi" w:hAnsiTheme="majorBidi" w:cstheme="majorBidi"/>
          <w:color w:val="000000" w:themeColor="text1"/>
          <w:sz w:val="24"/>
          <w:szCs w:val="24"/>
        </w:rPr>
        <w:t xml:space="preserve">, P. (2000) </w:t>
      </w:r>
      <w:r w:rsidR="00913415" w:rsidRPr="00615171">
        <w:rPr>
          <w:rFonts w:asciiTheme="majorBidi" w:hAnsiTheme="majorBidi" w:cstheme="majorBidi"/>
          <w:i/>
          <w:color w:val="000000" w:themeColor="text1"/>
          <w:sz w:val="24"/>
          <w:szCs w:val="24"/>
        </w:rPr>
        <w:t>The impact of learning on health</w:t>
      </w:r>
      <w:r w:rsidR="00913415" w:rsidRPr="00615171">
        <w:rPr>
          <w:rFonts w:asciiTheme="majorBidi" w:hAnsiTheme="majorBidi" w:cstheme="majorBidi"/>
          <w:color w:val="000000" w:themeColor="text1"/>
          <w:sz w:val="24"/>
          <w:szCs w:val="24"/>
        </w:rPr>
        <w:t>.  Leicester, NIACE</w:t>
      </w:r>
      <w:r w:rsidRPr="00615171">
        <w:rPr>
          <w:rFonts w:asciiTheme="majorBidi" w:hAnsiTheme="majorBidi" w:cstheme="majorBidi"/>
          <w:color w:val="000000" w:themeColor="text1"/>
          <w:sz w:val="24"/>
          <w:szCs w:val="24"/>
        </w:rPr>
        <w:t xml:space="preserve"> </w:t>
      </w:r>
    </w:p>
    <w:p w14:paraId="38DFD284" w14:textId="5412BD59" w:rsidR="00987AAA" w:rsidRPr="00615171" w:rsidRDefault="00987AAA" w:rsidP="002D480F">
      <w:pPr>
        <w:spacing w:after="0" w:line="240" w:lineRule="auto"/>
        <w:ind w:left="720" w:hanging="720"/>
        <w:jc w:val="both"/>
        <w:rPr>
          <w:rFonts w:asciiTheme="majorBidi" w:hAnsiTheme="majorBidi" w:cstheme="majorBidi"/>
          <w:color w:val="000000" w:themeColor="text1"/>
          <w:sz w:val="24"/>
          <w:szCs w:val="24"/>
        </w:rPr>
      </w:pPr>
      <w:proofErr w:type="spellStart"/>
      <w:r w:rsidRPr="00615171">
        <w:rPr>
          <w:rFonts w:asciiTheme="majorBidi" w:hAnsiTheme="majorBidi" w:cstheme="majorBidi"/>
          <w:i/>
          <w:color w:val="000000" w:themeColor="text1"/>
          <w:sz w:val="24"/>
          <w:szCs w:val="24"/>
        </w:rPr>
        <w:t>Allin</w:t>
      </w:r>
      <w:proofErr w:type="spellEnd"/>
      <w:r w:rsidRPr="00615171">
        <w:rPr>
          <w:rFonts w:asciiTheme="majorBidi" w:hAnsiTheme="majorBidi" w:cstheme="majorBidi"/>
          <w:i/>
          <w:color w:val="000000" w:themeColor="text1"/>
          <w:sz w:val="24"/>
          <w:szCs w:val="24"/>
        </w:rPr>
        <w:t xml:space="preserve">, S., </w:t>
      </w:r>
      <w:proofErr w:type="spellStart"/>
      <w:r w:rsidRPr="00615171">
        <w:rPr>
          <w:rFonts w:asciiTheme="majorBidi" w:hAnsiTheme="majorBidi" w:cstheme="majorBidi"/>
          <w:i/>
          <w:color w:val="000000" w:themeColor="text1"/>
          <w:sz w:val="24"/>
          <w:szCs w:val="24"/>
        </w:rPr>
        <w:t>Massertia</w:t>
      </w:r>
      <w:proofErr w:type="spellEnd"/>
      <w:r w:rsidRPr="00615171">
        <w:rPr>
          <w:rFonts w:asciiTheme="majorBidi" w:hAnsiTheme="majorBidi" w:cstheme="majorBidi"/>
          <w:i/>
          <w:color w:val="000000" w:themeColor="text1"/>
          <w:sz w:val="24"/>
          <w:szCs w:val="24"/>
        </w:rPr>
        <w:t xml:space="preserve">, C. and </w:t>
      </w:r>
      <w:proofErr w:type="spellStart"/>
      <w:r w:rsidRPr="00615171">
        <w:rPr>
          <w:rFonts w:asciiTheme="majorBidi" w:hAnsiTheme="majorBidi" w:cstheme="majorBidi"/>
          <w:i/>
          <w:color w:val="000000" w:themeColor="text1"/>
          <w:sz w:val="24"/>
          <w:szCs w:val="24"/>
        </w:rPr>
        <w:t>Mossialos</w:t>
      </w:r>
      <w:proofErr w:type="spellEnd"/>
      <w:r w:rsidRPr="00615171">
        <w:rPr>
          <w:rFonts w:asciiTheme="majorBidi" w:hAnsiTheme="majorBidi" w:cstheme="majorBidi"/>
          <w:i/>
          <w:color w:val="000000" w:themeColor="text1"/>
          <w:sz w:val="24"/>
          <w:szCs w:val="24"/>
        </w:rPr>
        <w:t>, E. (2006) Inequality in health care use among older people in the</w:t>
      </w:r>
      <w:r w:rsidRPr="00615171">
        <w:rPr>
          <w:rFonts w:asciiTheme="majorBidi" w:hAnsiTheme="majorBidi" w:cstheme="majorBidi"/>
          <w:color w:val="000000" w:themeColor="text1"/>
          <w:sz w:val="24"/>
          <w:szCs w:val="24"/>
        </w:rPr>
        <w:t xml:space="preserve"> United Kingdom: an analysis of panel data.  London, LSE.</w:t>
      </w:r>
    </w:p>
    <w:p w14:paraId="5B9D04F0" w14:textId="7F2E64AA" w:rsidR="006C33D0" w:rsidRPr="00615171" w:rsidRDefault="006C33D0" w:rsidP="002D480F">
      <w:pPr>
        <w:spacing w:after="0" w:line="240" w:lineRule="auto"/>
        <w:ind w:left="720" w:hanging="720"/>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Alzheimers</w:t>
      </w:r>
      <w:proofErr w:type="spellEnd"/>
      <w:r w:rsidRPr="00615171">
        <w:rPr>
          <w:rFonts w:asciiTheme="majorBidi" w:hAnsiTheme="majorBidi" w:cstheme="majorBidi"/>
          <w:color w:val="000000" w:themeColor="text1"/>
          <w:sz w:val="24"/>
          <w:szCs w:val="24"/>
        </w:rPr>
        <w:t xml:space="preserve"> Disease International (2014) </w:t>
      </w:r>
      <w:r w:rsidRPr="00615171">
        <w:rPr>
          <w:rFonts w:asciiTheme="majorBidi" w:hAnsiTheme="majorBidi" w:cstheme="majorBidi"/>
          <w:i/>
          <w:color w:val="000000" w:themeColor="text1"/>
          <w:sz w:val="24"/>
          <w:szCs w:val="24"/>
        </w:rPr>
        <w:t>World Alzheimer Report 2014: Dementia and risk reduction, an analysis of protective and modifiable factors</w:t>
      </w:r>
      <w:r w:rsidRPr="00615171">
        <w:rPr>
          <w:rFonts w:asciiTheme="majorBidi" w:hAnsiTheme="majorBidi" w:cstheme="majorBidi"/>
          <w:color w:val="000000" w:themeColor="text1"/>
          <w:sz w:val="24"/>
          <w:szCs w:val="24"/>
        </w:rPr>
        <w:t>. ADI.</w:t>
      </w:r>
    </w:p>
    <w:p w14:paraId="6DCC015D" w14:textId="465D3F5A" w:rsidR="004A1E26" w:rsidRPr="00615171" w:rsidRDefault="004A1E26" w:rsidP="002D480F">
      <w:pPr>
        <w:spacing w:after="0" w:line="240" w:lineRule="auto"/>
        <w:ind w:left="720" w:hanging="720"/>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Aratzcoz</w:t>
      </w:r>
      <w:proofErr w:type="spellEnd"/>
      <w:r w:rsidRPr="00615171">
        <w:rPr>
          <w:rFonts w:asciiTheme="majorBidi" w:hAnsiTheme="majorBidi" w:cstheme="majorBidi"/>
          <w:color w:val="000000" w:themeColor="text1"/>
          <w:sz w:val="24"/>
          <w:szCs w:val="24"/>
        </w:rPr>
        <w:t xml:space="preserve">, L, and Rueda, S. (2007) Social inequalities in health among the elderly; a challenge for public health research.  </w:t>
      </w:r>
      <w:r w:rsidRPr="00615171">
        <w:rPr>
          <w:rFonts w:asciiTheme="majorBidi" w:hAnsiTheme="majorBidi" w:cstheme="majorBidi"/>
          <w:i/>
          <w:color w:val="000000" w:themeColor="text1"/>
          <w:sz w:val="24"/>
          <w:szCs w:val="24"/>
        </w:rPr>
        <w:t xml:space="preserve">Journal of </w:t>
      </w:r>
      <w:proofErr w:type="spellStart"/>
      <w:r w:rsidRPr="00615171">
        <w:rPr>
          <w:rFonts w:asciiTheme="majorBidi" w:hAnsiTheme="majorBidi" w:cstheme="majorBidi"/>
          <w:i/>
          <w:color w:val="000000" w:themeColor="text1"/>
          <w:sz w:val="24"/>
          <w:szCs w:val="24"/>
        </w:rPr>
        <w:t>Epidemiiology</w:t>
      </w:r>
      <w:proofErr w:type="spellEnd"/>
      <w:r w:rsidRPr="00615171">
        <w:rPr>
          <w:rFonts w:asciiTheme="majorBidi" w:hAnsiTheme="majorBidi" w:cstheme="majorBidi"/>
          <w:i/>
          <w:color w:val="000000" w:themeColor="text1"/>
          <w:sz w:val="24"/>
          <w:szCs w:val="24"/>
        </w:rPr>
        <w:t xml:space="preserve"> &amp; Community Health</w:t>
      </w:r>
      <w:r w:rsidRPr="00615171">
        <w:rPr>
          <w:rFonts w:asciiTheme="majorBidi" w:hAnsiTheme="majorBidi" w:cstheme="majorBidi"/>
          <w:color w:val="000000" w:themeColor="text1"/>
          <w:sz w:val="24"/>
          <w:szCs w:val="24"/>
        </w:rPr>
        <w:t>, 61(6):466-7</w:t>
      </w:r>
    </w:p>
    <w:p w14:paraId="56CBC028" w14:textId="69C3D2F3" w:rsidR="0084053D" w:rsidRPr="00615171" w:rsidRDefault="00F60B1B" w:rsidP="002D480F">
      <w:pPr>
        <w:autoSpaceDE w:val="0"/>
        <w:autoSpaceDN w:val="0"/>
        <w:adjustRightInd w:val="0"/>
        <w:spacing w:after="0" w:line="240" w:lineRule="auto"/>
        <w:ind w:left="720" w:hanging="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Arber, S. and Ginn</w:t>
      </w:r>
      <w:r w:rsidR="00766C5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J. (1993)</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766C5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Gender and inequalities in health in later life</w:t>
      </w:r>
      <w:r w:rsidR="00766C5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2D480F" w:rsidRPr="00615171">
        <w:rPr>
          <w:rFonts w:asciiTheme="majorBidi" w:hAnsiTheme="majorBidi" w:cstheme="majorBidi"/>
          <w:i/>
          <w:iCs/>
          <w:color w:val="000000" w:themeColor="text1"/>
          <w:sz w:val="24"/>
          <w:szCs w:val="24"/>
        </w:rPr>
        <w:t xml:space="preserve">Social Science </w:t>
      </w:r>
      <w:r w:rsidRPr="00615171">
        <w:rPr>
          <w:rFonts w:asciiTheme="majorBidi" w:hAnsiTheme="majorBidi" w:cstheme="majorBidi"/>
          <w:i/>
          <w:iCs/>
          <w:color w:val="000000" w:themeColor="text1"/>
          <w:sz w:val="24"/>
          <w:szCs w:val="24"/>
        </w:rPr>
        <w:t xml:space="preserve">Medical Journal </w:t>
      </w:r>
      <w:r w:rsidRPr="00615171">
        <w:rPr>
          <w:rFonts w:asciiTheme="majorBidi" w:hAnsiTheme="majorBidi" w:cstheme="majorBidi"/>
          <w:bCs/>
          <w:color w:val="000000" w:themeColor="text1"/>
          <w:sz w:val="24"/>
          <w:szCs w:val="24"/>
        </w:rPr>
        <w:t>36</w:t>
      </w:r>
      <w:r w:rsidR="00766C5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33–46.</w:t>
      </w:r>
    </w:p>
    <w:p w14:paraId="52966982" w14:textId="24BE577B" w:rsidR="005D27A6" w:rsidRPr="00615171" w:rsidRDefault="005D27A6" w:rsidP="002D480F">
      <w:pPr>
        <w:tabs>
          <w:tab w:val="left" w:pos="360"/>
        </w:tabs>
        <w:spacing w:after="0" w:line="240" w:lineRule="auto"/>
        <w:ind w:left="720" w:hanging="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Baker, M., </w:t>
      </w:r>
      <w:proofErr w:type="spellStart"/>
      <w:r w:rsidRPr="00615171">
        <w:rPr>
          <w:rFonts w:asciiTheme="majorBidi" w:hAnsiTheme="majorBidi" w:cstheme="majorBidi"/>
          <w:color w:val="000000" w:themeColor="text1"/>
          <w:sz w:val="24"/>
          <w:szCs w:val="24"/>
        </w:rPr>
        <w:t>Mawby</w:t>
      </w:r>
      <w:proofErr w:type="spellEnd"/>
      <w:r w:rsidRPr="00615171">
        <w:rPr>
          <w:rFonts w:asciiTheme="majorBidi" w:hAnsiTheme="majorBidi" w:cstheme="majorBidi"/>
          <w:color w:val="000000" w:themeColor="text1"/>
          <w:sz w:val="24"/>
          <w:szCs w:val="24"/>
        </w:rPr>
        <w:t>, R., and Ware, J. (2015). Health inequalities. Royal College of General Practitioners, http://www.rcgp.org.uk/policy/rcgp-policy-areas/~/media/Files/Policy/A-Z-policy/2015/Health%20Inequalities.ashx</w:t>
      </w:r>
    </w:p>
    <w:p w14:paraId="1DCAFEF3" w14:textId="3C4956EB" w:rsidR="00281705" w:rsidRPr="00615171" w:rsidRDefault="00281705" w:rsidP="002D480F">
      <w:pPr>
        <w:autoSpaceDE w:val="0"/>
        <w:autoSpaceDN w:val="0"/>
        <w:adjustRightInd w:val="0"/>
        <w:spacing w:after="0" w:line="240" w:lineRule="auto"/>
        <w:ind w:left="720" w:hanging="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Barnett K, Mercer SW, Norbury M, Watt G, </w:t>
      </w:r>
      <w:proofErr w:type="spellStart"/>
      <w:r w:rsidRPr="00615171">
        <w:rPr>
          <w:rFonts w:asciiTheme="majorBidi" w:hAnsiTheme="majorBidi" w:cstheme="majorBidi"/>
          <w:color w:val="000000" w:themeColor="text1"/>
          <w:sz w:val="24"/>
          <w:szCs w:val="24"/>
        </w:rPr>
        <w:t>Wyke</w:t>
      </w:r>
      <w:proofErr w:type="spellEnd"/>
      <w:r w:rsidRPr="00615171">
        <w:rPr>
          <w:rFonts w:asciiTheme="majorBidi" w:hAnsiTheme="majorBidi" w:cstheme="majorBidi"/>
          <w:color w:val="000000" w:themeColor="text1"/>
          <w:sz w:val="24"/>
          <w:szCs w:val="24"/>
        </w:rPr>
        <w:t xml:space="preserve"> S, Guthrie B</w:t>
      </w:r>
      <w:r w:rsidR="004B2E77"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(2012). Epidemiology of multi</w:t>
      </w:r>
      <w:r w:rsidR="002E5F20"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morbidity and implications for health care, research, and medical education: a cross-sectional study. The Lancet online. </w:t>
      </w:r>
    </w:p>
    <w:p w14:paraId="6AB2CA8A" w14:textId="31D8D53B" w:rsidR="004F2616" w:rsidRPr="00615171" w:rsidRDefault="004F2616" w:rsidP="002D480F">
      <w:pPr>
        <w:autoSpaceDE w:val="0"/>
        <w:autoSpaceDN w:val="0"/>
        <w:adjustRightInd w:val="0"/>
        <w:spacing w:after="0" w:line="240" w:lineRule="auto"/>
        <w:ind w:left="720" w:hanging="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Beckett, M. (2000) Converging health inequalities in later life – an artefact of mortality selection?  </w:t>
      </w:r>
      <w:r w:rsidRPr="00615171">
        <w:rPr>
          <w:rFonts w:asciiTheme="majorBidi" w:hAnsiTheme="majorBidi" w:cstheme="majorBidi"/>
          <w:i/>
          <w:color w:val="000000" w:themeColor="text1"/>
          <w:sz w:val="24"/>
          <w:szCs w:val="24"/>
        </w:rPr>
        <w:t xml:space="preserve">Journal of Health and Social </w:t>
      </w:r>
      <w:proofErr w:type="spellStart"/>
      <w:r w:rsidRPr="00615171">
        <w:rPr>
          <w:rFonts w:asciiTheme="majorBidi" w:hAnsiTheme="majorBidi" w:cstheme="majorBidi"/>
          <w:i/>
          <w:color w:val="000000" w:themeColor="text1"/>
          <w:sz w:val="24"/>
          <w:szCs w:val="24"/>
        </w:rPr>
        <w:t>Behaviour</w:t>
      </w:r>
      <w:proofErr w:type="spellEnd"/>
      <w:r w:rsidRPr="00615171">
        <w:rPr>
          <w:rFonts w:asciiTheme="majorBidi" w:hAnsiTheme="majorBidi" w:cstheme="majorBidi"/>
          <w:color w:val="000000" w:themeColor="text1"/>
          <w:sz w:val="24"/>
          <w:szCs w:val="24"/>
        </w:rPr>
        <w:t xml:space="preserve"> 41(1):106-9</w:t>
      </w:r>
    </w:p>
    <w:p w14:paraId="7715AC40" w14:textId="188095FD" w:rsidR="004C3F83" w:rsidRPr="00615171" w:rsidRDefault="004C3F83" w:rsidP="002D480F">
      <w:pPr>
        <w:autoSpaceDE w:val="0"/>
        <w:autoSpaceDN w:val="0"/>
        <w:adjustRightInd w:val="0"/>
        <w:spacing w:after="0" w:line="240" w:lineRule="auto"/>
        <w:ind w:left="720" w:hanging="720"/>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Bernard, M. (2000)</w:t>
      </w:r>
      <w:r w:rsidR="00E02996"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i/>
          <w:color w:val="000000" w:themeColor="text1"/>
          <w:sz w:val="24"/>
          <w:szCs w:val="24"/>
        </w:rPr>
        <w:t>Promoting Health in Old Age</w:t>
      </w:r>
      <w:r w:rsidRPr="00615171">
        <w:rPr>
          <w:rFonts w:asciiTheme="majorBidi" w:hAnsiTheme="majorBidi" w:cstheme="majorBidi"/>
          <w:color w:val="000000" w:themeColor="text1"/>
          <w:sz w:val="24"/>
          <w:szCs w:val="24"/>
        </w:rPr>
        <w:t>, Open University Press, Buckingham.</w:t>
      </w:r>
    </w:p>
    <w:p w14:paraId="157E140E" w14:textId="77777777" w:rsidR="00247BD8" w:rsidRPr="00615171" w:rsidRDefault="00247BD8" w:rsidP="002D480F">
      <w:pPr>
        <w:autoSpaceDE w:val="0"/>
        <w:autoSpaceDN w:val="0"/>
        <w:adjustRightInd w:val="0"/>
        <w:spacing w:after="0" w:line="240" w:lineRule="auto"/>
        <w:ind w:left="720" w:hanging="720"/>
        <w:jc w:val="both"/>
        <w:rPr>
          <w:rFonts w:asciiTheme="majorBidi" w:hAnsiTheme="majorBidi" w:cstheme="majorBidi"/>
          <w:b/>
          <w:color w:val="000000" w:themeColor="text1"/>
          <w:sz w:val="24"/>
          <w:szCs w:val="24"/>
        </w:rPr>
      </w:pPr>
      <w:r w:rsidRPr="00615171">
        <w:rPr>
          <w:rFonts w:asciiTheme="majorBidi" w:hAnsiTheme="majorBidi" w:cstheme="majorBidi"/>
          <w:color w:val="000000" w:themeColor="text1"/>
          <w:sz w:val="24"/>
          <w:szCs w:val="24"/>
          <w:lang w:val="en-GB"/>
        </w:rPr>
        <w:t>Blackman, T., Harrington, B., Elliott, E., Greene, A., Hunter, D. J.</w:t>
      </w:r>
      <w:r w:rsidR="008B773C" w:rsidRPr="00615171">
        <w:rPr>
          <w:rFonts w:asciiTheme="majorBidi" w:hAnsiTheme="majorBidi" w:cstheme="majorBidi"/>
          <w:color w:val="000000" w:themeColor="text1"/>
          <w:sz w:val="24"/>
          <w:szCs w:val="24"/>
          <w:lang w:val="en-GB"/>
        </w:rPr>
        <w:t xml:space="preserve">, </w:t>
      </w:r>
      <w:r w:rsidRPr="00615171">
        <w:rPr>
          <w:rFonts w:asciiTheme="majorBidi" w:hAnsiTheme="majorBidi" w:cstheme="majorBidi"/>
          <w:color w:val="000000" w:themeColor="text1"/>
          <w:sz w:val="24"/>
          <w:szCs w:val="24"/>
          <w:lang w:val="en-GB"/>
        </w:rPr>
        <w:t>Marks, L</w:t>
      </w:r>
      <w:r w:rsidR="008B773C" w:rsidRPr="00615171">
        <w:rPr>
          <w:rFonts w:asciiTheme="majorBidi" w:hAnsiTheme="majorBidi" w:cstheme="majorBidi"/>
          <w:color w:val="000000" w:themeColor="text1"/>
          <w:sz w:val="24"/>
          <w:szCs w:val="24"/>
          <w:lang w:val="en-GB"/>
        </w:rPr>
        <w:t>., Mc</w:t>
      </w:r>
      <w:r w:rsidRPr="00615171">
        <w:rPr>
          <w:rFonts w:asciiTheme="majorBidi" w:hAnsiTheme="majorBidi" w:cstheme="majorBidi"/>
          <w:color w:val="000000" w:themeColor="text1"/>
          <w:sz w:val="24"/>
          <w:szCs w:val="24"/>
          <w:lang w:val="en-GB"/>
        </w:rPr>
        <w:t>Kee, L</w:t>
      </w:r>
      <w:r w:rsidR="008B773C" w:rsidRPr="00615171">
        <w:rPr>
          <w:rFonts w:asciiTheme="majorBidi" w:hAnsiTheme="majorBidi" w:cstheme="majorBidi"/>
          <w:color w:val="000000" w:themeColor="text1"/>
          <w:sz w:val="24"/>
          <w:szCs w:val="24"/>
          <w:lang w:val="en-GB"/>
        </w:rPr>
        <w:t xml:space="preserve">., </w:t>
      </w:r>
      <w:r w:rsidRPr="00615171">
        <w:rPr>
          <w:rFonts w:asciiTheme="majorBidi" w:hAnsiTheme="majorBidi" w:cstheme="majorBidi"/>
          <w:color w:val="000000" w:themeColor="text1"/>
          <w:sz w:val="24"/>
          <w:szCs w:val="24"/>
          <w:lang w:val="en-GB"/>
        </w:rPr>
        <w:t>and Williams, G</w:t>
      </w:r>
      <w:r w:rsidR="008B773C" w:rsidRPr="00615171">
        <w:rPr>
          <w:rFonts w:asciiTheme="majorBidi" w:hAnsiTheme="majorBidi" w:cstheme="majorBidi"/>
          <w:color w:val="000000" w:themeColor="text1"/>
          <w:sz w:val="24"/>
          <w:szCs w:val="24"/>
          <w:lang w:val="en-GB"/>
        </w:rPr>
        <w:t xml:space="preserve">. </w:t>
      </w:r>
      <w:r w:rsidRPr="00615171">
        <w:rPr>
          <w:rFonts w:asciiTheme="majorBidi" w:hAnsiTheme="majorBidi" w:cstheme="majorBidi"/>
          <w:color w:val="000000" w:themeColor="text1"/>
          <w:sz w:val="24"/>
          <w:szCs w:val="24"/>
          <w:lang w:val="en-GB"/>
        </w:rPr>
        <w:t>(2012). Framing health inequalities for local intervention: comparative case</w:t>
      </w:r>
      <w:r w:rsidR="008B773C" w:rsidRPr="00615171">
        <w:rPr>
          <w:rFonts w:asciiTheme="majorBidi" w:hAnsiTheme="majorBidi" w:cstheme="majorBidi"/>
          <w:color w:val="000000" w:themeColor="text1"/>
          <w:sz w:val="24"/>
          <w:szCs w:val="24"/>
          <w:lang w:val="en-GB"/>
        </w:rPr>
        <w:t xml:space="preserve"> </w:t>
      </w:r>
      <w:r w:rsidRPr="00615171">
        <w:rPr>
          <w:rFonts w:asciiTheme="majorBidi" w:hAnsiTheme="majorBidi" w:cstheme="majorBidi"/>
          <w:color w:val="000000" w:themeColor="text1"/>
          <w:sz w:val="24"/>
          <w:szCs w:val="24"/>
          <w:lang w:val="en-GB"/>
        </w:rPr>
        <w:t xml:space="preserve">studies. </w:t>
      </w:r>
      <w:r w:rsidRPr="00615171">
        <w:rPr>
          <w:rFonts w:asciiTheme="majorBidi" w:hAnsiTheme="majorBidi" w:cstheme="majorBidi"/>
          <w:i/>
          <w:iCs/>
          <w:color w:val="000000" w:themeColor="text1"/>
          <w:sz w:val="24"/>
          <w:szCs w:val="24"/>
          <w:lang w:val="en-GB"/>
        </w:rPr>
        <w:t>Sociology of Health &amp; Illness</w:t>
      </w:r>
      <w:r w:rsidRPr="00615171">
        <w:rPr>
          <w:rFonts w:asciiTheme="majorBidi" w:hAnsiTheme="majorBidi" w:cstheme="majorBidi"/>
          <w:color w:val="000000" w:themeColor="text1"/>
          <w:sz w:val="24"/>
          <w:szCs w:val="24"/>
          <w:lang w:val="en-GB"/>
        </w:rPr>
        <w:t xml:space="preserve"> 34(1)</w:t>
      </w:r>
      <w:r w:rsidR="008B773C" w:rsidRPr="00615171">
        <w:rPr>
          <w:rFonts w:asciiTheme="majorBidi" w:hAnsiTheme="majorBidi" w:cstheme="majorBidi"/>
          <w:color w:val="000000" w:themeColor="text1"/>
          <w:sz w:val="24"/>
          <w:szCs w:val="24"/>
          <w:lang w:val="en-GB"/>
        </w:rPr>
        <w:t>:</w:t>
      </w:r>
      <w:r w:rsidRPr="00615171">
        <w:rPr>
          <w:rFonts w:asciiTheme="majorBidi" w:hAnsiTheme="majorBidi" w:cstheme="majorBidi"/>
          <w:color w:val="000000" w:themeColor="text1"/>
          <w:sz w:val="24"/>
          <w:szCs w:val="24"/>
          <w:lang w:val="en-GB"/>
        </w:rPr>
        <w:t>49–63</w:t>
      </w:r>
      <w:r w:rsidR="008B773C" w:rsidRPr="00615171">
        <w:rPr>
          <w:rFonts w:asciiTheme="majorBidi" w:hAnsiTheme="majorBidi" w:cstheme="majorBidi"/>
          <w:color w:val="000000" w:themeColor="text1"/>
          <w:sz w:val="24"/>
          <w:szCs w:val="24"/>
          <w:lang w:val="en-GB"/>
        </w:rPr>
        <w:t>.</w:t>
      </w:r>
    </w:p>
    <w:p w14:paraId="206EF227" w14:textId="1806B8FE" w:rsidR="00DD0303" w:rsidRPr="00615171" w:rsidRDefault="00A74996"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Bone, M., Gregory, J. and Gill, B. (1992)</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i/>
          <w:iCs/>
          <w:color w:val="000000" w:themeColor="text1"/>
          <w:sz w:val="24"/>
          <w:szCs w:val="24"/>
        </w:rPr>
        <w:t>Retirement and retirement plans</w:t>
      </w:r>
      <w:r w:rsidR="00E6610A" w:rsidRPr="00615171">
        <w:rPr>
          <w:rFonts w:asciiTheme="majorBidi" w:hAnsiTheme="majorBidi" w:cstheme="majorBidi"/>
          <w:i/>
          <w:iCs/>
          <w:color w:val="000000" w:themeColor="text1"/>
          <w:sz w:val="24"/>
          <w:szCs w:val="24"/>
        </w:rPr>
        <w:t>’</w:t>
      </w:r>
      <w:r w:rsidRPr="00615171">
        <w:rPr>
          <w:rFonts w:asciiTheme="majorBidi" w:hAnsiTheme="majorBidi" w:cstheme="majorBidi"/>
          <w:color w:val="000000" w:themeColor="text1"/>
          <w:sz w:val="24"/>
          <w:szCs w:val="24"/>
        </w:rPr>
        <w:t>. London: HMSO.</w:t>
      </w:r>
    </w:p>
    <w:p w14:paraId="24BDFC97" w14:textId="6D1C0E68" w:rsidR="00AF6DB8" w:rsidRPr="00615171" w:rsidRDefault="00AF6DB8"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Burholdt</w:t>
      </w:r>
      <w:proofErr w:type="spellEnd"/>
      <w:r w:rsidRPr="00615171">
        <w:rPr>
          <w:rFonts w:asciiTheme="majorBidi" w:hAnsiTheme="majorBidi" w:cstheme="majorBidi"/>
          <w:color w:val="000000" w:themeColor="text1"/>
          <w:sz w:val="24"/>
          <w:szCs w:val="24"/>
        </w:rPr>
        <w:t xml:space="preserve">, V. and </w:t>
      </w:r>
      <w:proofErr w:type="spellStart"/>
      <w:r w:rsidRPr="00615171">
        <w:rPr>
          <w:rFonts w:asciiTheme="majorBidi" w:hAnsiTheme="majorBidi" w:cstheme="majorBidi"/>
          <w:color w:val="000000" w:themeColor="text1"/>
          <w:sz w:val="24"/>
          <w:szCs w:val="24"/>
        </w:rPr>
        <w:t>Windle</w:t>
      </w:r>
      <w:proofErr w:type="spellEnd"/>
      <w:r w:rsidRPr="00615171">
        <w:rPr>
          <w:rFonts w:asciiTheme="majorBidi" w:hAnsiTheme="majorBidi" w:cstheme="majorBidi"/>
          <w:color w:val="000000" w:themeColor="text1"/>
          <w:sz w:val="24"/>
          <w:szCs w:val="24"/>
        </w:rPr>
        <w:t xml:space="preserve">, G. (2006) </w:t>
      </w:r>
      <w:r w:rsidRPr="00615171">
        <w:rPr>
          <w:rFonts w:asciiTheme="majorBidi" w:hAnsiTheme="majorBidi" w:cstheme="majorBidi"/>
          <w:i/>
          <w:color w:val="000000" w:themeColor="text1"/>
          <w:sz w:val="24"/>
          <w:szCs w:val="24"/>
        </w:rPr>
        <w:t>The material resources and well-being of older people</w:t>
      </w:r>
      <w:r w:rsidRPr="00615171">
        <w:rPr>
          <w:rFonts w:asciiTheme="majorBidi" w:hAnsiTheme="majorBidi" w:cstheme="majorBidi"/>
          <w:color w:val="000000" w:themeColor="text1"/>
          <w:sz w:val="24"/>
          <w:szCs w:val="24"/>
        </w:rPr>
        <w:t xml:space="preserve">. York, Joseph Rowntree Foundation. </w:t>
      </w:r>
    </w:p>
    <w:p w14:paraId="173F7CAA" w14:textId="77777777" w:rsidR="0070616B" w:rsidRPr="00615171" w:rsidRDefault="0070616B" w:rsidP="00615171">
      <w:pPr>
        <w:spacing w:after="0" w:line="240" w:lineRule="auto"/>
        <w:ind w:left="785" w:hangingChars="327" w:hanging="785"/>
        <w:jc w:val="both"/>
        <w:rPr>
          <w:rStyle w:val="HTMLCite"/>
          <w:rFonts w:asciiTheme="majorBidi" w:hAnsiTheme="majorBidi" w:cstheme="majorBidi"/>
          <w:i w:val="0"/>
          <w:iCs w:val="0"/>
          <w:color w:val="000000" w:themeColor="text1"/>
          <w:sz w:val="24"/>
          <w:szCs w:val="24"/>
        </w:rPr>
      </w:pPr>
      <w:r w:rsidRPr="00615171">
        <w:rPr>
          <w:rFonts w:asciiTheme="majorBidi" w:hAnsiTheme="majorBidi" w:cstheme="majorBidi"/>
          <w:color w:val="000000" w:themeColor="text1"/>
          <w:sz w:val="24"/>
          <w:szCs w:val="24"/>
          <w:shd w:val="clear" w:color="auto" w:fill="FFFFFF"/>
        </w:rPr>
        <w:t>Center for Substance Abuse Treatment (1998). Substance Abuse Among Older Adults. Rockville (MD): Substance Abuse and Mental Health Services Administration (US); Treatment Improvement Protocol (TIP) Series, No. 26.) Chapter 1 - Substance Abuse Among Older Adults: An Invisible Epidemic.</w:t>
      </w:r>
      <w:r w:rsidRPr="00615171">
        <w:rPr>
          <w:rStyle w:val="apple-converted-space"/>
          <w:rFonts w:asciiTheme="majorBidi" w:hAnsiTheme="majorBidi" w:cstheme="majorBidi"/>
          <w:color w:val="000000" w:themeColor="text1"/>
          <w:sz w:val="24"/>
          <w:szCs w:val="24"/>
          <w:shd w:val="clear" w:color="auto" w:fill="FFFFFF"/>
        </w:rPr>
        <w:t> </w:t>
      </w:r>
      <w:r w:rsidRPr="00615171">
        <w:rPr>
          <w:rStyle w:val="bkciteavail"/>
          <w:rFonts w:asciiTheme="majorBidi" w:hAnsiTheme="majorBidi" w:cstheme="majorBidi"/>
          <w:color w:val="000000" w:themeColor="text1"/>
          <w:sz w:val="24"/>
          <w:szCs w:val="24"/>
          <w:shd w:val="clear" w:color="auto" w:fill="FFFFFF"/>
        </w:rPr>
        <w:t>Available from: http://www.ncbi.nlm.nih.gov/books/NBK64422/</w:t>
      </w:r>
    </w:p>
    <w:p w14:paraId="6B8CCAC8" w14:textId="7D9B9C9B" w:rsidR="0070616B" w:rsidRPr="00615171" w:rsidRDefault="0070616B" w:rsidP="00615171">
      <w:pPr>
        <w:spacing w:after="0" w:line="240" w:lineRule="auto"/>
        <w:ind w:left="785" w:hangingChars="327" w:hanging="785"/>
        <w:jc w:val="both"/>
        <w:rPr>
          <w:rStyle w:val="Hyperlink"/>
          <w:rFonts w:asciiTheme="majorBidi" w:hAnsiTheme="majorBidi" w:cstheme="majorBidi"/>
          <w:color w:val="000000" w:themeColor="text1"/>
          <w:sz w:val="24"/>
          <w:szCs w:val="24"/>
          <w:u w:val="none"/>
        </w:rPr>
      </w:pPr>
      <w:r w:rsidRPr="00615171">
        <w:rPr>
          <w:rFonts w:asciiTheme="majorBidi" w:hAnsiTheme="majorBidi" w:cstheme="majorBidi"/>
          <w:color w:val="000000" w:themeColor="text1"/>
          <w:sz w:val="24"/>
          <w:szCs w:val="24"/>
        </w:rPr>
        <w:t xml:space="preserve">Coulter, A., Parsons, S. and </w:t>
      </w:r>
      <w:proofErr w:type="spellStart"/>
      <w:r w:rsidRPr="00615171">
        <w:rPr>
          <w:rFonts w:asciiTheme="majorBidi" w:hAnsiTheme="majorBidi" w:cstheme="majorBidi"/>
          <w:color w:val="000000" w:themeColor="text1"/>
          <w:sz w:val="24"/>
          <w:szCs w:val="24"/>
        </w:rPr>
        <w:t>Askham</w:t>
      </w:r>
      <w:proofErr w:type="spellEnd"/>
      <w:r w:rsidRPr="00615171">
        <w:rPr>
          <w:rFonts w:asciiTheme="majorBidi" w:hAnsiTheme="majorBidi" w:cstheme="majorBidi"/>
          <w:color w:val="000000" w:themeColor="text1"/>
          <w:sz w:val="24"/>
          <w:szCs w:val="24"/>
        </w:rPr>
        <w:t>, J. (2008). Policy Brief: Where are the patients in decision-making about their own care? World Health Organization (WHO), http://www.who.int/management/general/decisionmaking/WhereArePatientsinDecisionMaking.pdf</w:t>
      </w:r>
    </w:p>
    <w:p w14:paraId="11EE8883" w14:textId="77777777" w:rsidR="0070616B" w:rsidRPr="00615171" w:rsidRDefault="0070616B" w:rsidP="00615171">
      <w:pPr>
        <w:autoSpaceDE w:val="0"/>
        <w:autoSpaceDN w:val="0"/>
        <w:adjustRightInd w:val="0"/>
        <w:spacing w:after="0" w:line="240" w:lineRule="auto"/>
        <w:ind w:left="785" w:hanging="785"/>
        <w:jc w:val="both"/>
        <w:rPr>
          <w:rFonts w:asciiTheme="majorBidi" w:hAnsiTheme="majorBidi" w:cstheme="majorBidi"/>
          <w:color w:val="000000" w:themeColor="text1"/>
          <w:sz w:val="24"/>
          <w:szCs w:val="24"/>
        </w:rPr>
      </w:pPr>
    </w:p>
    <w:p w14:paraId="060CA766" w14:textId="39FDD513" w:rsidR="004F2616" w:rsidRPr="00615171" w:rsidRDefault="00B979C2" w:rsidP="00615171">
      <w:pPr>
        <w:autoSpaceDE w:val="0"/>
        <w:autoSpaceDN w:val="0"/>
        <w:adjustRightInd w:val="0"/>
        <w:spacing w:after="0" w:line="240" w:lineRule="auto"/>
        <w:ind w:left="785" w:hangingChars="327" w:hanging="785"/>
        <w:jc w:val="both"/>
        <w:rPr>
          <w:rFonts w:asciiTheme="majorBidi" w:hAnsiTheme="majorBidi" w:cstheme="majorBidi"/>
          <w:i/>
          <w:iCs/>
          <w:color w:val="000000" w:themeColor="text1"/>
          <w:sz w:val="24"/>
          <w:szCs w:val="24"/>
        </w:rPr>
      </w:pPr>
      <w:r w:rsidRPr="00615171">
        <w:rPr>
          <w:rFonts w:asciiTheme="majorBidi" w:hAnsiTheme="majorBidi" w:cstheme="majorBidi"/>
          <w:color w:val="000000" w:themeColor="text1"/>
          <w:sz w:val="24"/>
          <w:szCs w:val="24"/>
        </w:rPr>
        <w:t>Daly, M.C., Duncan, G.J., McDonough, P., Williams, D.</w:t>
      </w:r>
      <w:r w:rsidR="00885EB6" w:rsidRPr="00615171">
        <w:rPr>
          <w:rFonts w:asciiTheme="majorBidi" w:hAnsiTheme="majorBidi" w:cstheme="majorBidi"/>
          <w:color w:val="000000" w:themeColor="text1"/>
          <w:sz w:val="24"/>
          <w:szCs w:val="24"/>
        </w:rPr>
        <w:t>R.</w:t>
      </w:r>
      <w:r w:rsidRPr="00615171">
        <w:rPr>
          <w:rFonts w:asciiTheme="majorBidi" w:hAnsiTheme="majorBidi" w:cstheme="majorBidi"/>
          <w:color w:val="000000" w:themeColor="text1"/>
          <w:sz w:val="24"/>
          <w:szCs w:val="24"/>
        </w:rPr>
        <w:t xml:space="preserve"> (</w:t>
      </w:r>
      <w:r w:rsidR="00885EB6" w:rsidRPr="00615171">
        <w:rPr>
          <w:rFonts w:asciiTheme="majorBidi" w:hAnsiTheme="majorBidi" w:cstheme="majorBidi"/>
          <w:color w:val="000000" w:themeColor="text1"/>
          <w:sz w:val="24"/>
          <w:szCs w:val="24"/>
        </w:rPr>
        <w:t>2002</w:t>
      </w:r>
      <w:r w:rsidRPr="00615171">
        <w:rPr>
          <w:rFonts w:asciiTheme="majorBidi" w:hAnsiTheme="majorBidi" w:cstheme="majorBidi"/>
          <w:color w:val="000000" w:themeColor="text1"/>
          <w:sz w:val="24"/>
          <w:szCs w:val="24"/>
        </w:rPr>
        <w:t xml:space="preserve">) Optimal indicators of </w:t>
      </w:r>
      <w:proofErr w:type="spellStart"/>
      <w:r w:rsidRPr="00615171">
        <w:rPr>
          <w:rFonts w:asciiTheme="majorBidi" w:hAnsiTheme="majorBidi" w:cstheme="majorBidi"/>
          <w:color w:val="000000" w:themeColor="text1"/>
          <w:sz w:val="24"/>
          <w:szCs w:val="24"/>
        </w:rPr>
        <w:t>socioeocomic</w:t>
      </w:r>
      <w:proofErr w:type="spellEnd"/>
      <w:r w:rsidRPr="00615171">
        <w:rPr>
          <w:rFonts w:asciiTheme="majorBidi" w:hAnsiTheme="majorBidi" w:cstheme="majorBidi"/>
          <w:color w:val="000000" w:themeColor="text1"/>
          <w:sz w:val="24"/>
          <w:szCs w:val="24"/>
        </w:rPr>
        <w:t xml:space="preserve"> status for health research. </w:t>
      </w:r>
      <w:r w:rsidR="00885EB6" w:rsidRPr="00615171">
        <w:rPr>
          <w:rFonts w:asciiTheme="majorBidi" w:hAnsiTheme="majorBidi" w:cstheme="majorBidi"/>
          <w:i/>
          <w:iCs/>
          <w:color w:val="000000" w:themeColor="text1"/>
          <w:sz w:val="24"/>
          <w:szCs w:val="24"/>
        </w:rPr>
        <w:t>American Journal of Public Health</w:t>
      </w:r>
      <w:r w:rsidR="00885EB6" w:rsidRPr="00615171">
        <w:rPr>
          <w:rFonts w:asciiTheme="majorBidi" w:hAnsiTheme="majorBidi" w:cstheme="majorBidi"/>
          <w:color w:val="000000" w:themeColor="text1"/>
          <w:sz w:val="24"/>
          <w:szCs w:val="24"/>
        </w:rPr>
        <w:t xml:space="preserve"> 92(7):1151-</w:t>
      </w:r>
      <w:r w:rsidR="00885EB6" w:rsidRPr="00615171">
        <w:rPr>
          <w:rFonts w:asciiTheme="majorBidi" w:hAnsiTheme="majorBidi" w:cstheme="majorBidi"/>
          <w:color w:val="000000" w:themeColor="text1"/>
          <w:sz w:val="24"/>
          <w:szCs w:val="24"/>
        </w:rPr>
        <w:lastRenderedPageBreak/>
        <w:t xml:space="preserve">1157. </w:t>
      </w:r>
      <w:proofErr w:type="spellStart"/>
      <w:r w:rsidR="004F2616" w:rsidRPr="00615171">
        <w:rPr>
          <w:rFonts w:asciiTheme="majorBidi" w:hAnsiTheme="majorBidi" w:cstheme="majorBidi"/>
          <w:color w:val="000000" w:themeColor="text1"/>
          <w:sz w:val="24"/>
          <w:szCs w:val="24"/>
        </w:rPr>
        <w:t>Dannefer</w:t>
      </w:r>
      <w:proofErr w:type="spellEnd"/>
      <w:r w:rsidR="004F2616" w:rsidRPr="00615171">
        <w:rPr>
          <w:rFonts w:asciiTheme="majorBidi" w:hAnsiTheme="majorBidi" w:cstheme="majorBidi"/>
          <w:color w:val="000000" w:themeColor="text1"/>
          <w:sz w:val="24"/>
          <w:szCs w:val="24"/>
        </w:rPr>
        <w:t xml:space="preserve">, D. (2003) Cumulative advantage/disadvantage and the life course: </w:t>
      </w:r>
      <w:proofErr w:type="spellStart"/>
      <w:r w:rsidR="004F2616" w:rsidRPr="00615171">
        <w:rPr>
          <w:rFonts w:asciiTheme="majorBidi" w:hAnsiTheme="majorBidi" w:cstheme="majorBidi"/>
          <w:color w:val="000000" w:themeColor="text1"/>
          <w:sz w:val="24"/>
          <w:szCs w:val="24"/>
        </w:rPr>
        <w:t>cross-fertilising</w:t>
      </w:r>
      <w:proofErr w:type="spellEnd"/>
      <w:r w:rsidR="004F2616" w:rsidRPr="00615171">
        <w:rPr>
          <w:rFonts w:asciiTheme="majorBidi" w:hAnsiTheme="majorBidi" w:cstheme="majorBidi"/>
          <w:color w:val="000000" w:themeColor="text1"/>
          <w:sz w:val="24"/>
          <w:szCs w:val="24"/>
        </w:rPr>
        <w:t xml:space="preserve"> age and social science theory.  </w:t>
      </w:r>
      <w:r w:rsidR="004F2616" w:rsidRPr="00615171">
        <w:rPr>
          <w:rFonts w:asciiTheme="majorBidi" w:hAnsiTheme="majorBidi" w:cstheme="majorBidi"/>
          <w:i/>
          <w:color w:val="000000" w:themeColor="text1"/>
          <w:sz w:val="24"/>
          <w:szCs w:val="24"/>
        </w:rPr>
        <w:t>Journals of Gerontology, Series B: Psychological Sciences and Social Sciences</w:t>
      </w:r>
      <w:r w:rsidR="004F2616" w:rsidRPr="00615171">
        <w:rPr>
          <w:rFonts w:asciiTheme="majorBidi" w:hAnsiTheme="majorBidi" w:cstheme="majorBidi"/>
          <w:color w:val="000000" w:themeColor="text1"/>
          <w:sz w:val="24"/>
          <w:szCs w:val="24"/>
        </w:rPr>
        <w:t xml:space="preserve"> 58(6):S327-38.</w:t>
      </w:r>
    </w:p>
    <w:p w14:paraId="67C089BF" w14:textId="4FE029E2" w:rsidR="00DD0303" w:rsidRPr="00615171" w:rsidRDefault="00DD0303"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Department of Health (2012). Report.</w:t>
      </w:r>
      <w:r w:rsidRPr="00615171">
        <w:rPr>
          <w:rStyle w:val="apple-converted-space"/>
          <w:rFonts w:asciiTheme="majorBidi" w:hAnsiTheme="majorBidi" w:cstheme="majorBidi"/>
          <w:color w:val="000000" w:themeColor="text1"/>
          <w:sz w:val="24"/>
          <w:szCs w:val="24"/>
        </w:rPr>
        <w:t> </w:t>
      </w:r>
      <w:hyperlink r:id="rId17" w:history="1">
        <w:r w:rsidRPr="00615171">
          <w:rPr>
            <w:rStyle w:val="Hyperlink"/>
            <w:rFonts w:asciiTheme="majorBidi" w:hAnsiTheme="majorBidi" w:cstheme="majorBidi"/>
            <w:color w:val="000000" w:themeColor="text1"/>
            <w:sz w:val="24"/>
            <w:szCs w:val="24"/>
          </w:rPr>
          <w:t>Long-term conditions compendium of Information: 3rd edition</w:t>
        </w:r>
      </w:hyperlink>
      <w:r w:rsidR="00623739" w:rsidRPr="00615171">
        <w:rPr>
          <w:rStyle w:val="Hyperlink"/>
          <w:rFonts w:asciiTheme="majorBidi" w:hAnsiTheme="majorBidi" w:cstheme="majorBidi"/>
          <w:color w:val="000000" w:themeColor="text1"/>
          <w:sz w:val="24"/>
          <w:szCs w:val="24"/>
        </w:rPr>
        <w:t>.</w:t>
      </w:r>
    </w:p>
    <w:p w14:paraId="03F0A5F4" w14:textId="54F3B6F2" w:rsidR="004873F9" w:rsidRPr="00615171" w:rsidRDefault="00E6610A"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Elo, I. T. and Preston, S.H. (1996)</w:t>
      </w:r>
      <w:r w:rsidR="00E02996" w:rsidRPr="00615171">
        <w:rPr>
          <w:rFonts w:asciiTheme="majorBidi" w:hAnsiTheme="majorBidi" w:cstheme="majorBidi"/>
          <w:color w:val="000000" w:themeColor="text1"/>
          <w:sz w:val="24"/>
          <w:szCs w:val="24"/>
        </w:rPr>
        <w:t>.</w:t>
      </w:r>
      <w:r w:rsidR="004873F9" w:rsidRPr="00615171">
        <w:rPr>
          <w:rFonts w:asciiTheme="majorBidi" w:hAnsiTheme="majorBidi" w:cstheme="majorBidi"/>
          <w:color w:val="000000" w:themeColor="text1"/>
          <w:sz w:val="24"/>
          <w:szCs w:val="24"/>
        </w:rPr>
        <w:t xml:space="preserve"> ‘Educational differentials in mortality: United States, 1979-85’</w:t>
      </w:r>
      <w:r w:rsidRPr="00615171">
        <w:rPr>
          <w:rFonts w:asciiTheme="majorBidi" w:hAnsiTheme="majorBidi" w:cstheme="majorBidi"/>
          <w:color w:val="000000" w:themeColor="text1"/>
          <w:sz w:val="24"/>
          <w:szCs w:val="24"/>
        </w:rPr>
        <w:t>,</w:t>
      </w:r>
      <w:r w:rsidR="00EB1141" w:rsidRPr="00615171">
        <w:rPr>
          <w:rFonts w:asciiTheme="majorBidi" w:hAnsiTheme="majorBidi" w:cstheme="majorBidi"/>
          <w:color w:val="000000" w:themeColor="text1"/>
          <w:sz w:val="24"/>
          <w:szCs w:val="24"/>
        </w:rPr>
        <w:t xml:space="preserve"> </w:t>
      </w:r>
      <w:r w:rsidR="004873F9" w:rsidRPr="00615171">
        <w:rPr>
          <w:rFonts w:asciiTheme="majorBidi" w:hAnsiTheme="majorBidi" w:cstheme="majorBidi"/>
          <w:i/>
          <w:iCs/>
          <w:color w:val="000000" w:themeColor="text1"/>
          <w:sz w:val="24"/>
          <w:szCs w:val="24"/>
        </w:rPr>
        <w:t xml:space="preserve">Social Science and Medicine </w:t>
      </w:r>
      <w:r w:rsidRPr="00615171">
        <w:rPr>
          <w:rFonts w:asciiTheme="majorBidi" w:hAnsiTheme="majorBidi" w:cstheme="majorBidi"/>
          <w:color w:val="000000" w:themeColor="text1"/>
          <w:sz w:val="24"/>
          <w:szCs w:val="24"/>
        </w:rPr>
        <w:t>42(1)</w:t>
      </w:r>
      <w:r w:rsidR="00420F16" w:rsidRPr="00615171">
        <w:rPr>
          <w:rFonts w:asciiTheme="majorBidi" w:hAnsiTheme="majorBidi" w:cstheme="majorBidi"/>
          <w:color w:val="000000" w:themeColor="text1"/>
          <w:sz w:val="24"/>
          <w:szCs w:val="24"/>
        </w:rPr>
        <w:t>:</w:t>
      </w:r>
      <w:r w:rsidR="004873F9" w:rsidRPr="00615171">
        <w:rPr>
          <w:rFonts w:asciiTheme="majorBidi" w:hAnsiTheme="majorBidi" w:cstheme="majorBidi"/>
          <w:color w:val="000000" w:themeColor="text1"/>
          <w:sz w:val="24"/>
          <w:szCs w:val="24"/>
        </w:rPr>
        <w:t>47-57.</w:t>
      </w:r>
    </w:p>
    <w:p w14:paraId="421B2861" w14:textId="61B3E7C6" w:rsidR="0031041A" w:rsidRPr="00615171" w:rsidRDefault="0031041A"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Bowling</w:t>
      </w:r>
      <w:r w:rsidR="00B20C28"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A. (2004)</w:t>
      </w:r>
      <w:r w:rsidR="00296D57"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‘Socioeconomic differentials in mortality among older people’, </w:t>
      </w:r>
      <w:r w:rsidRPr="00615171">
        <w:rPr>
          <w:rFonts w:asciiTheme="majorBidi" w:hAnsiTheme="majorBidi" w:cstheme="majorBidi"/>
          <w:i/>
          <w:iCs/>
          <w:color w:val="000000" w:themeColor="text1"/>
          <w:sz w:val="24"/>
          <w:szCs w:val="24"/>
        </w:rPr>
        <w:t xml:space="preserve">Journal of Epidemiology and Community Health </w:t>
      </w:r>
      <w:r w:rsidR="00420F16" w:rsidRPr="00615171">
        <w:rPr>
          <w:rFonts w:asciiTheme="majorBidi" w:hAnsiTheme="majorBidi" w:cstheme="majorBidi"/>
          <w:color w:val="000000" w:themeColor="text1"/>
          <w:sz w:val="24"/>
          <w:szCs w:val="24"/>
        </w:rPr>
        <w:t>58:</w:t>
      </w:r>
      <w:r w:rsidRPr="00615171">
        <w:rPr>
          <w:rFonts w:asciiTheme="majorBidi" w:hAnsiTheme="majorBidi" w:cstheme="majorBidi"/>
          <w:color w:val="000000" w:themeColor="text1"/>
          <w:sz w:val="24"/>
          <w:szCs w:val="24"/>
        </w:rPr>
        <w:t>438-440.</w:t>
      </w:r>
    </w:p>
    <w:p w14:paraId="26E8E78F" w14:textId="352EBCEF" w:rsidR="00150314" w:rsidRPr="00615171" w:rsidRDefault="00E6610A" w:rsidP="00615171">
      <w:pPr>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Erikson, R. and </w:t>
      </w:r>
      <w:proofErr w:type="spellStart"/>
      <w:r w:rsidRPr="00615171">
        <w:rPr>
          <w:rFonts w:asciiTheme="majorBidi" w:hAnsiTheme="majorBidi" w:cstheme="majorBidi"/>
          <w:color w:val="000000" w:themeColor="text1"/>
          <w:sz w:val="24"/>
          <w:szCs w:val="24"/>
        </w:rPr>
        <w:t>Torssander</w:t>
      </w:r>
      <w:proofErr w:type="spellEnd"/>
      <w:r w:rsidRPr="00615171">
        <w:rPr>
          <w:rFonts w:asciiTheme="majorBidi" w:hAnsiTheme="majorBidi" w:cstheme="majorBidi"/>
          <w:color w:val="000000" w:themeColor="text1"/>
          <w:sz w:val="24"/>
          <w:szCs w:val="24"/>
        </w:rPr>
        <w:t>, J. (2008)</w:t>
      </w:r>
      <w:r w:rsidR="00E02996" w:rsidRPr="00615171">
        <w:rPr>
          <w:rFonts w:asciiTheme="majorBidi" w:hAnsiTheme="majorBidi" w:cstheme="majorBidi"/>
          <w:color w:val="000000" w:themeColor="text1"/>
          <w:sz w:val="24"/>
          <w:szCs w:val="24"/>
        </w:rPr>
        <w:t>.</w:t>
      </w:r>
      <w:r w:rsidR="00C9649A" w:rsidRPr="00615171">
        <w:rPr>
          <w:rFonts w:asciiTheme="majorBidi" w:hAnsiTheme="majorBidi" w:cstheme="majorBidi"/>
          <w:color w:val="000000" w:themeColor="text1"/>
          <w:sz w:val="24"/>
          <w:szCs w:val="24"/>
        </w:rPr>
        <w:t xml:space="preserve"> ‘S</w:t>
      </w:r>
      <w:r w:rsidRPr="00615171">
        <w:rPr>
          <w:rFonts w:asciiTheme="majorBidi" w:hAnsiTheme="majorBidi" w:cstheme="majorBidi"/>
          <w:color w:val="000000" w:themeColor="text1"/>
          <w:sz w:val="24"/>
          <w:szCs w:val="24"/>
        </w:rPr>
        <w:t>ocial class and cause of death’,</w:t>
      </w:r>
      <w:r w:rsidR="00C9649A" w:rsidRPr="00615171">
        <w:rPr>
          <w:rFonts w:asciiTheme="majorBidi" w:hAnsiTheme="majorBidi" w:cstheme="majorBidi"/>
          <w:color w:val="000000" w:themeColor="text1"/>
          <w:sz w:val="24"/>
          <w:szCs w:val="24"/>
        </w:rPr>
        <w:t xml:space="preserve"> </w:t>
      </w:r>
      <w:r w:rsidR="00C9649A" w:rsidRPr="00615171">
        <w:rPr>
          <w:rFonts w:asciiTheme="majorBidi" w:hAnsiTheme="majorBidi" w:cstheme="majorBidi"/>
          <w:i/>
          <w:color w:val="000000" w:themeColor="text1"/>
          <w:sz w:val="24"/>
          <w:szCs w:val="24"/>
        </w:rPr>
        <w:t>European Journal of Public Health</w:t>
      </w:r>
      <w:r w:rsidRPr="00615171">
        <w:rPr>
          <w:rFonts w:asciiTheme="majorBidi" w:hAnsiTheme="majorBidi" w:cstheme="majorBidi"/>
          <w:color w:val="000000" w:themeColor="text1"/>
          <w:sz w:val="24"/>
          <w:szCs w:val="24"/>
        </w:rPr>
        <w:t xml:space="preserve"> 18(</w:t>
      </w:r>
      <w:r w:rsidR="00C9649A" w:rsidRPr="00615171">
        <w:rPr>
          <w:rFonts w:asciiTheme="majorBidi" w:hAnsiTheme="majorBidi" w:cstheme="majorBidi"/>
          <w:color w:val="000000" w:themeColor="text1"/>
          <w:sz w:val="24"/>
          <w:szCs w:val="24"/>
        </w:rPr>
        <w:t>5</w:t>
      </w:r>
      <w:r w:rsidRPr="00615171">
        <w:rPr>
          <w:rFonts w:asciiTheme="majorBidi" w:hAnsiTheme="majorBidi" w:cstheme="majorBidi"/>
          <w:color w:val="000000" w:themeColor="text1"/>
          <w:sz w:val="24"/>
          <w:szCs w:val="24"/>
        </w:rPr>
        <w:t>)</w:t>
      </w:r>
      <w:r w:rsidR="00420F16" w:rsidRPr="00615171">
        <w:rPr>
          <w:rFonts w:asciiTheme="majorBidi" w:hAnsiTheme="majorBidi" w:cstheme="majorBidi"/>
          <w:color w:val="000000" w:themeColor="text1"/>
          <w:sz w:val="24"/>
          <w:szCs w:val="24"/>
        </w:rPr>
        <w:t>:</w:t>
      </w:r>
      <w:r w:rsidR="00C9649A" w:rsidRPr="00615171">
        <w:rPr>
          <w:rFonts w:asciiTheme="majorBidi" w:hAnsiTheme="majorBidi" w:cstheme="majorBidi"/>
          <w:color w:val="000000" w:themeColor="text1"/>
          <w:sz w:val="24"/>
          <w:szCs w:val="24"/>
        </w:rPr>
        <w:t>473-478.</w:t>
      </w:r>
      <w:r w:rsidR="00150314" w:rsidRPr="00615171">
        <w:rPr>
          <w:rFonts w:asciiTheme="majorBidi" w:hAnsiTheme="majorBidi" w:cstheme="majorBidi"/>
          <w:color w:val="000000" w:themeColor="text1"/>
          <w:sz w:val="24"/>
          <w:szCs w:val="24"/>
        </w:rPr>
        <w:t xml:space="preserve"> </w:t>
      </w:r>
    </w:p>
    <w:p w14:paraId="50081604" w14:textId="5D12FFF4" w:rsidR="00150314" w:rsidRPr="00615171" w:rsidRDefault="00150314" w:rsidP="00615171">
      <w:pPr>
        <w:spacing w:after="0" w:line="240" w:lineRule="auto"/>
        <w:ind w:left="785" w:hangingChars="327" w:hanging="785"/>
        <w:jc w:val="both"/>
        <w:rPr>
          <w:rFonts w:asciiTheme="majorBidi" w:hAnsiTheme="majorBidi" w:cstheme="majorBidi"/>
          <w:color w:val="000000" w:themeColor="text1"/>
          <w:sz w:val="24"/>
          <w:szCs w:val="24"/>
          <w:lang w:val="en-GB"/>
        </w:rPr>
      </w:pPr>
      <w:proofErr w:type="spellStart"/>
      <w:r w:rsidRPr="00615171">
        <w:rPr>
          <w:rFonts w:asciiTheme="majorBidi" w:hAnsiTheme="majorBidi" w:cstheme="majorBidi"/>
          <w:color w:val="000000" w:themeColor="text1"/>
          <w:sz w:val="24"/>
          <w:szCs w:val="24"/>
          <w:lang w:val="en-GB"/>
        </w:rPr>
        <w:t>Exworthy</w:t>
      </w:r>
      <w:proofErr w:type="spellEnd"/>
      <w:r w:rsidRPr="00615171">
        <w:rPr>
          <w:rFonts w:asciiTheme="majorBidi" w:hAnsiTheme="majorBidi" w:cstheme="majorBidi"/>
          <w:color w:val="000000" w:themeColor="text1"/>
          <w:sz w:val="24"/>
          <w:szCs w:val="24"/>
          <w:lang w:val="en-GB"/>
        </w:rPr>
        <w:t>, M., Blane, D. and Marmot, M. (2003)</w:t>
      </w:r>
      <w:r w:rsidR="00E02996" w:rsidRPr="00615171">
        <w:rPr>
          <w:rFonts w:asciiTheme="majorBidi" w:hAnsiTheme="majorBidi" w:cstheme="majorBidi"/>
          <w:color w:val="000000" w:themeColor="text1"/>
          <w:sz w:val="24"/>
          <w:szCs w:val="24"/>
          <w:lang w:val="en-GB"/>
        </w:rPr>
        <w:t>.</w:t>
      </w:r>
      <w:r w:rsidRPr="00615171">
        <w:rPr>
          <w:rFonts w:asciiTheme="majorBidi" w:hAnsiTheme="majorBidi" w:cstheme="majorBidi"/>
          <w:color w:val="000000" w:themeColor="text1"/>
          <w:sz w:val="24"/>
          <w:szCs w:val="24"/>
          <w:lang w:val="en-GB"/>
        </w:rPr>
        <w:t xml:space="preserve"> Tackling Health Inequalities in the United Kingdom: The Progress and Pitfalls of Policy. </w:t>
      </w:r>
      <w:r w:rsidRPr="00615171">
        <w:rPr>
          <w:rFonts w:asciiTheme="majorBidi" w:hAnsiTheme="majorBidi" w:cstheme="majorBidi"/>
          <w:i/>
          <w:iCs/>
          <w:color w:val="000000" w:themeColor="text1"/>
          <w:sz w:val="24"/>
          <w:szCs w:val="24"/>
          <w:lang w:val="en-GB"/>
        </w:rPr>
        <w:t>Health Services Research</w:t>
      </w:r>
      <w:r w:rsidRPr="00615171">
        <w:rPr>
          <w:rFonts w:asciiTheme="majorBidi" w:hAnsiTheme="majorBidi" w:cstheme="majorBidi"/>
          <w:color w:val="000000" w:themeColor="text1"/>
          <w:sz w:val="24"/>
          <w:szCs w:val="24"/>
          <w:lang w:val="en-GB"/>
        </w:rPr>
        <w:t xml:space="preserve"> 38</w:t>
      </w:r>
      <w:r w:rsidR="00420F16" w:rsidRPr="00615171">
        <w:rPr>
          <w:rFonts w:asciiTheme="majorBidi" w:hAnsiTheme="majorBidi" w:cstheme="majorBidi"/>
          <w:color w:val="000000" w:themeColor="text1"/>
          <w:sz w:val="24"/>
          <w:szCs w:val="24"/>
          <w:lang w:val="en-GB"/>
        </w:rPr>
        <w:t>:</w:t>
      </w:r>
      <w:r w:rsidRPr="00615171">
        <w:rPr>
          <w:rFonts w:asciiTheme="majorBidi" w:hAnsiTheme="majorBidi" w:cstheme="majorBidi"/>
          <w:color w:val="000000" w:themeColor="text1"/>
          <w:sz w:val="24"/>
          <w:szCs w:val="24"/>
          <w:lang w:val="en-GB"/>
        </w:rPr>
        <w:t>1905-1922.</w:t>
      </w:r>
    </w:p>
    <w:p w14:paraId="7607374A" w14:textId="59E40953" w:rsidR="00720028" w:rsidRPr="00615171" w:rsidRDefault="00720028" w:rsidP="00615171">
      <w:pPr>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Equality and Human Rights Commission (</w:t>
      </w:r>
      <w:r w:rsidR="007F0E9E" w:rsidRPr="00615171">
        <w:rPr>
          <w:rFonts w:asciiTheme="majorBidi" w:hAnsiTheme="majorBidi" w:cstheme="majorBidi"/>
          <w:color w:val="000000" w:themeColor="text1"/>
          <w:sz w:val="24"/>
          <w:szCs w:val="24"/>
        </w:rPr>
        <w:t>2009</w:t>
      </w:r>
      <w:r w:rsidRPr="00615171">
        <w:rPr>
          <w:rFonts w:asciiTheme="majorBidi" w:hAnsiTheme="majorBidi" w:cstheme="majorBidi"/>
          <w:color w:val="000000" w:themeColor="text1"/>
          <w:sz w:val="24"/>
          <w:szCs w:val="24"/>
        </w:rPr>
        <w:t xml:space="preserve">) Just </w:t>
      </w:r>
      <w:proofErr w:type="gramStart"/>
      <w:r w:rsidRPr="00615171">
        <w:rPr>
          <w:rFonts w:asciiTheme="majorBidi" w:hAnsiTheme="majorBidi" w:cstheme="majorBidi"/>
          <w:color w:val="000000" w:themeColor="text1"/>
          <w:sz w:val="24"/>
          <w:szCs w:val="24"/>
        </w:rPr>
        <w:t>ageing?:</w:t>
      </w:r>
      <w:proofErr w:type="gramEnd"/>
      <w:r w:rsidRPr="00615171">
        <w:rPr>
          <w:rFonts w:asciiTheme="majorBidi" w:hAnsiTheme="majorBidi" w:cstheme="majorBidi"/>
          <w:color w:val="000000" w:themeColor="text1"/>
          <w:sz w:val="24"/>
          <w:szCs w:val="24"/>
        </w:rPr>
        <w:t xml:space="preserve"> Fairness, equality and the lifecourse.  EHRC and Age Concern, England</w:t>
      </w:r>
      <w:r w:rsidR="007F0E9E" w:rsidRPr="00615171">
        <w:rPr>
          <w:rFonts w:asciiTheme="majorBidi" w:hAnsiTheme="majorBidi" w:cstheme="majorBidi"/>
          <w:color w:val="000000" w:themeColor="text1"/>
          <w:sz w:val="24"/>
          <w:szCs w:val="24"/>
        </w:rPr>
        <w:t>, http://justageing.equalityhumanrights.com/wp-content/uploads/2009/08/Socio-economic-inequalities-in-the-older-population-of-the-United-Kingdom-Just-Ageing-Public-Service-report.pdf</w:t>
      </w:r>
    </w:p>
    <w:p w14:paraId="614172B7" w14:textId="3CF21965" w:rsidR="001049ED" w:rsidRPr="00615171" w:rsidRDefault="001049ED" w:rsidP="00615171">
      <w:pPr>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Evandrou</w:t>
      </w:r>
      <w:proofErr w:type="spellEnd"/>
      <w:r w:rsidRPr="00615171">
        <w:rPr>
          <w:rFonts w:asciiTheme="majorBidi" w:hAnsiTheme="majorBidi" w:cstheme="majorBidi"/>
          <w:color w:val="000000" w:themeColor="text1"/>
          <w:sz w:val="24"/>
          <w:szCs w:val="24"/>
        </w:rPr>
        <w:t>, M. (2005)</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072E78" w:rsidRPr="00615171">
        <w:rPr>
          <w:rFonts w:asciiTheme="majorBidi" w:hAnsiTheme="majorBidi" w:cstheme="majorBidi"/>
          <w:color w:val="000000" w:themeColor="text1"/>
          <w:sz w:val="24"/>
          <w:szCs w:val="24"/>
        </w:rPr>
        <w:t>‘</w:t>
      </w:r>
      <w:r w:rsidRPr="00615171">
        <w:rPr>
          <w:rFonts w:asciiTheme="majorBidi" w:hAnsiTheme="majorBidi" w:cstheme="majorBidi"/>
          <w:i/>
          <w:color w:val="000000" w:themeColor="text1"/>
          <w:sz w:val="24"/>
          <w:szCs w:val="24"/>
        </w:rPr>
        <w:t>Focus on Older People</w:t>
      </w:r>
      <w:r w:rsidR="00072E78" w:rsidRPr="00615171">
        <w:rPr>
          <w:rFonts w:asciiTheme="majorBidi" w:hAnsiTheme="majorBidi" w:cstheme="majorBidi"/>
          <w:color w:val="000000" w:themeColor="text1"/>
          <w:sz w:val="24"/>
          <w:szCs w:val="24"/>
        </w:rPr>
        <w:t xml:space="preserve">: </w:t>
      </w:r>
      <w:r w:rsidR="00072E78" w:rsidRPr="00615171">
        <w:rPr>
          <w:rFonts w:asciiTheme="majorBidi" w:hAnsiTheme="majorBidi" w:cstheme="majorBidi"/>
          <w:i/>
          <w:color w:val="000000" w:themeColor="text1"/>
          <w:sz w:val="24"/>
          <w:szCs w:val="24"/>
        </w:rPr>
        <w:t>Health and Well-being’,</w:t>
      </w:r>
      <w:r w:rsidR="00072E78" w:rsidRPr="00615171">
        <w:rPr>
          <w:rFonts w:asciiTheme="majorBidi" w:hAnsiTheme="majorBidi" w:cstheme="majorBidi"/>
          <w:color w:val="000000" w:themeColor="text1"/>
          <w:sz w:val="24"/>
          <w:szCs w:val="24"/>
        </w:rPr>
        <w:t xml:space="preserve"> Department of Work and Pensions, National Statistics, Palgrave Macmillan</w:t>
      </w:r>
      <w:r w:rsidR="00893497" w:rsidRPr="00615171">
        <w:rPr>
          <w:rFonts w:asciiTheme="majorBidi" w:hAnsiTheme="majorBidi" w:cstheme="majorBidi"/>
          <w:color w:val="000000" w:themeColor="text1"/>
          <w:sz w:val="24"/>
          <w:szCs w:val="24"/>
        </w:rPr>
        <w:t>: 39-65.</w:t>
      </w:r>
    </w:p>
    <w:p w14:paraId="05262889" w14:textId="3FB96C61" w:rsidR="004B0DF3" w:rsidRPr="00615171" w:rsidRDefault="004B0DF3" w:rsidP="00615171">
      <w:pPr>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Formosa, M and Higgs, P. (2013) (eds) </w:t>
      </w:r>
      <w:r w:rsidRPr="00615171">
        <w:rPr>
          <w:rFonts w:asciiTheme="majorBidi" w:hAnsiTheme="majorBidi" w:cstheme="majorBidi"/>
          <w:i/>
          <w:color w:val="000000" w:themeColor="text1"/>
          <w:sz w:val="24"/>
          <w:szCs w:val="24"/>
        </w:rPr>
        <w:t>Social class in later life: Power, identity and lifestyle</w:t>
      </w:r>
      <w:r w:rsidRPr="00615171">
        <w:rPr>
          <w:rFonts w:asciiTheme="majorBidi" w:hAnsiTheme="majorBidi" w:cstheme="majorBidi"/>
          <w:color w:val="000000" w:themeColor="text1"/>
          <w:sz w:val="24"/>
          <w:szCs w:val="24"/>
        </w:rPr>
        <w:t xml:space="preserve">.  </w:t>
      </w:r>
      <w:proofErr w:type="spellStart"/>
      <w:r w:rsidRPr="00615171">
        <w:rPr>
          <w:rFonts w:asciiTheme="majorBidi" w:hAnsiTheme="majorBidi" w:cstheme="majorBidi"/>
          <w:color w:val="000000" w:themeColor="text1"/>
          <w:sz w:val="24"/>
          <w:szCs w:val="24"/>
        </w:rPr>
        <w:t>Bristorl</w:t>
      </w:r>
      <w:proofErr w:type="spellEnd"/>
      <w:r w:rsidRPr="00615171">
        <w:rPr>
          <w:rFonts w:asciiTheme="majorBidi" w:hAnsiTheme="majorBidi" w:cstheme="majorBidi"/>
          <w:color w:val="000000" w:themeColor="text1"/>
          <w:sz w:val="24"/>
          <w:szCs w:val="24"/>
        </w:rPr>
        <w:t>, Policy Press</w:t>
      </w:r>
    </w:p>
    <w:p w14:paraId="26DAB976" w14:textId="2EC504CB" w:rsidR="00793A48" w:rsidRPr="00615171" w:rsidRDefault="00793A48"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Gale</w:t>
      </w:r>
      <w:r w:rsidR="00841F05"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C</w:t>
      </w:r>
      <w:r w:rsidR="00841F05"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R</w:t>
      </w:r>
      <w:r w:rsidR="00841F05"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Hatch</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S</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L</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Batty</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G</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D</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and </w:t>
      </w:r>
      <w:proofErr w:type="spellStart"/>
      <w:r w:rsidRPr="00615171">
        <w:rPr>
          <w:rFonts w:asciiTheme="majorBidi" w:hAnsiTheme="majorBidi" w:cstheme="majorBidi"/>
          <w:color w:val="000000" w:themeColor="text1"/>
          <w:sz w:val="24"/>
          <w:szCs w:val="24"/>
        </w:rPr>
        <w:t>Deary</w:t>
      </w:r>
      <w:proofErr w:type="spellEnd"/>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I</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J</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(2008)</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Intelligence in childhood and risk of psychological distress in adulthood: The 1958 National Child Development Survey and the 1970 British Cohort Study</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i/>
          <w:color w:val="000000" w:themeColor="text1"/>
          <w:sz w:val="24"/>
          <w:szCs w:val="24"/>
        </w:rPr>
        <w:t>Intelligence</w:t>
      </w:r>
      <w:r w:rsidR="00E6610A" w:rsidRPr="00615171">
        <w:rPr>
          <w:rFonts w:asciiTheme="majorBidi" w:hAnsiTheme="majorBidi" w:cstheme="majorBidi"/>
          <w:color w:val="000000" w:themeColor="text1"/>
          <w:sz w:val="24"/>
          <w:szCs w:val="24"/>
        </w:rPr>
        <w:t xml:space="preserve"> 37(6):</w:t>
      </w:r>
      <w:r w:rsidRPr="00615171">
        <w:rPr>
          <w:rFonts w:asciiTheme="majorBidi" w:hAnsiTheme="majorBidi" w:cstheme="majorBidi"/>
          <w:color w:val="000000" w:themeColor="text1"/>
          <w:sz w:val="24"/>
          <w:szCs w:val="24"/>
        </w:rPr>
        <w:t>592-599.</w:t>
      </w:r>
    </w:p>
    <w:p w14:paraId="3009BBAF" w14:textId="5755B610" w:rsidR="00E057B0" w:rsidRPr="00615171" w:rsidRDefault="00E057B0" w:rsidP="00615171">
      <w:pPr>
        <w:pStyle w:val="Default"/>
        <w:ind w:left="785" w:hangingChars="327" w:hanging="785"/>
        <w:jc w:val="both"/>
        <w:rPr>
          <w:rFonts w:asciiTheme="majorBidi" w:hAnsiTheme="majorBidi" w:cstheme="majorBidi"/>
          <w:color w:val="000000" w:themeColor="text1"/>
        </w:rPr>
      </w:pPr>
      <w:proofErr w:type="spellStart"/>
      <w:r w:rsidRPr="00615171">
        <w:rPr>
          <w:rFonts w:asciiTheme="majorBidi" w:hAnsiTheme="majorBidi" w:cstheme="majorBidi"/>
          <w:color w:val="000000" w:themeColor="text1"/>
        </w:rPr>
        <w:t>Galobardes</w:t>
      </w:r>
      <w:proofErr w:type="spellEnd"/>
      <w:r w:rsidRPr="00615171">
        <w:rPr>
          <w:rFonts w:asciiTheme="majorBidi" w:hAnsiTheme="majorBidi" w:cstheme="majorBidi"/>
          <w:color w:val="000000" w:themeColor="text1"/>
        </w:rPr>
        <w:t>, Bruna, Shaw, M., Lawlor, D., Smith, G.D., and Lynch, J. (2006)</w:t>
      </w:r>
      <w:r w:rsidR="00E02996" w:rsidRPr="00615171">
        <w:rPr>
          <w:rFonts w:asciiTheme="majorBidi" w:hAnsiTheme="majorBidi" w:cstheme="majorBidi"/>
          <w:color w:val="000000" w:themeColor="text1"/>
        </w:rPr>
        <w:t>.</w:t>
      </w:r>
      <w:r w:rsidRPr="00615171">
        <w:rPr>
          <w:rFonts w:asciiTheme="majorBidi" w:hAnsiTheme="majorBidi" w:cstheme="majorBidi"/>
          <w:color w:val="000000" w:themeColor="text1"/>
        </w:rPr>
        <w:t xml:space="preserve"> ‘Indicators of Socioeconomic Position’</w:t>
      </w:r>
      <w:r w:rsidR="00410D3C" w:rsidRPr="00615171">
        <w:rPr>
          <w:rFonts w:asciiTheme="majorBidi" w:hAnsiTheme="majorBidi" w:cstheme="majorBidi"/>
          <w:color w:val="000000" w:themeColor="text1"/>
        </w:rPr>
        <w:t xml:space="preserve">, edited by J. Michael Oakes and Kaufman, J. S., Francisco, S., </w:t>
      </w:r>
      <w:r w:rsidRPr="00615171">
        <w:rPr>
          <w:rFonts w:asciiTheme="majorBidi" w:hAnsiTheme="majorBidi" w:cstheme="majorBidi"/>
          <w:i/>
          <w:iCs/>
          <w:color w:val="000000" w:themeColor="text1"/>
        </w:rPr>
        <w:t>Methods in Social Epidemiology</w:t>
      </w:r>
      <w:r w:rsidRPr="00615171">
        <w:rPr>
          <w:rFonts w:asciiTheme="majorBidi" w:hAnsiTheme="majorBidi" w:cstheme="majorBidi"/>
          <w:color w:val="000000" w:themeColor="text1"/>
        </w:rPr>
        <w:t>, Jossey-Bass / Wile</w:t>
      </w:r>
      <w:r w:rsidR="00410D3C" w:rsidRPr="00615171">
        <w:rPr>
          <w:rFonts w:asciiTheme="majorBidi" w:hAnsiTheme="majorBidi" w:cstheme="majorBidi"/>
          <w:color w:val="000000" w:themeColor="text1"/>
        </w:rPr>
        <w:t>y:47-85.</w:t>
      </w:r>
    </w:p>
    <w:p w14:paraId="0071FDEC" w14:textId="0E36673F" w:rsidR="00B417E1" w:rsidRPr="00615171" w:rsidRDefault="00B417E1"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Graham, H. and Kelly, P.M. (2004)</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8753EF" w:rsidRPr="00615171">
        <w:rPr>
          <w:rFonts w:asciiTheme="majorBidi" w:hAnsiTheme="majorBidi" w:cstheme="majorBidi"/>
          <w:color w:val="000000" w:themeColor="text1"/>
          <w:sz w:val="24"/>
          <w:szCs w:val="24"/>
        </w:rPr>
        <w:t>‘</w:t>
      </w:r>
      <w:r w:rsidRPr="00615171">
        <w:rPr>
          <w:rFonts w:asciiTheme="majorBidi" w:hAnsiTheme="majorBidi" w:cstheme="majorBidi"/>
          <w:i/>
          <w:color w:val="000000" w:themeColor="text1"/>
          <w:sz w:val="24"/>
          <w:szCs w:val="24"/>
        </w:rPr>
        <w:t>Health Inequalities: concepts, frameworks and policy</w:t>
      </w:r>
      <w:r w:rsidR="008753EF" w:rsidRPr="00615171">
        <w:rPr>
          <w:rFonts w:asciiTheme="majorBidi" w:hAnsiTheme="majorBidi" w:cstheme="majorBidi"/>
          <w:i/>
          <w:color w:val="000000" w:themeColor="text1"/>
          <w:sz w:val="24"/>
          <w:szCs w:val="24"/>
        </w:rPr>
        <w:t>’</w:t>
      </w:r>
      <w:r w:rsidRPr="00615171">
        <w:rPr>
          <w:rFonts w:asciiTheme="majorBidi" w:hAnsiTheme="majorBidi" w:cstheme="majorBidi"/>
          <w:color w:val="000000" w:themeColor="text1"/>
          <w:sz w:val="24"/>
          <w:szCs w:val="24"/>
        </w:rPr>
        <w:t>, NHS</w:t>
      </w:r>
      <w:r w:rsidR="00112F0B" w:rsidRPr="00615171">
        <w:rPr>
          <w:rFonts w:asciiTheme="majorBidi" w:hAnsiTheme="majorBidi" w:cstheme="majorBidi"/>
          <w:color w:val="000000" w:themeColor="text1"/>
          <w:sz w:val="24"/>
          <w:szCs w:val="24"/>
        </w:rPr>
        <w:t xml:space="preserve"> Briefing paper, Health Development Agency. Available at:</w:t>
      </w:r>
    </w:p>
    <w:p w14:paraId="3026F5F1" w14:textId="6C56970C" w:rsidR="00112F0B" w:rsidRPr="00615171" w:rsidRDefault="00AF01E1" w:rsidP="00B13ECC">
      <w:pPr>
        <w:autoSpaceDE w:val="0"/>
        <w:autoSpaceDN w:val="0"/>
        <w:adjustRightInd w:val="0"/>
        <w:spacing w:after="0" w:line="240" w:lineRule="auto"/>
        <w:ind w:left="719"/>
        <w:jc w:val="both"/>
        <w:rPr>
          <w:rStyle w:val="HTMLCite"/>
          <w:rFonts w:asciiTheme="majorBidi" w:hAnsiTheme="majorBidi" w:cstheme="majorBidi"/>
          <w:i w:val="0"/>
          <w:color w:val="000000" w:themeColor="text1"/>
          <w:sz w:val="24"/>
          <w:szCs w:val="24"/>
        </w:rPr>
      </w:pPr>
      <w:hyperlink r:id="rId18" w:history="1">
        <w:r w:rsidR="00112F0B" w:rsidRPr="00615171">
          <w:rPr>
            <w:rStyle w:val="Hyperlink"/>
            <w:rFonts w:asciiTheme="majorBidi" w:hAnsiTheme="majorBidi" w:cstheme="majorBidi"/>
            <w:color w:val="000000" w:themeColor="text1"/>
            <w:sz w:val="24"/>
            <w:szCs w:val="24"/>
          </w:rPr>
          <w:t>www.nice.org.uk/niceMedia/pdf/</w:t>
        </w:r>
        <w:r w:rsidR="00112F0B" w:rsidRPr="00615171">
          <w:rPr>
            <w:rStyle w:val="Hyperlink"/>
            <w:rFonts w:asciiTheme="majorBidi" w:hAnsiTheme="majorBidi" w:cstheme="majorBidi"/>
            <w:bCs/>
            <w:color w:val="000000" w:themeColor="text1"/>
            <w:sz w:val="24"/>
            <w:szCs w:val="24"/>
          </w:rPr>
          <w:t>health</w:t>
        </w:r>
        <w:r w:rsidR="00112F0B" w:rsidRPr="00615171">
          <w:rPr>
            <w:rStyle w:val="Hyperlink"/>
            <w:rFonts w:asciiTheme="majorBidi" w:hAnsiTheme="majorBidi" w:cstheme="majorBidi"/>
            <w:color w:val="000000" w:themeColor="text1"/>
            <w:sz w:val="24"/>
            <w:szCs w:val="24"/>
          </w:rPr>
          <w:t>_</w:t>
        </w:r>
        <w:r w:rsidR="00112F0B" w:rsidRPr="00615171">
          <w:rPr>
            <w:rStyle w:val="Hyperlink"/>
            <w:rFonts w:asciiTheme="majorBidi" w:hAnsiTheme="majorBidi" w:cstheme="majorBidi"/>
            <w:bCs/>
            <w:color w:val="000000" w:themeColor="text1"/>
            <w:sz w:val="24"/>
            <w:szCs w:val="24"/>
          </w:rPr>
          <w:t>inequalities</w:t>
        </w:r>
        <w:r w:rsidR="00112F0B" w:rsidRPr="00615171">
          <w:rPr>
            <w:rStyle w:val="Hyperlink"/>
            <w:rFonts w:asciiTheme="majorBidi" w:hAnsiTheme="majorBidi" w:cstheme="majorBidi"/>
            <w:color w:val="000000" w:themeColor="text1"/>
            <w:sz w:val="24"/>
            <w:szCs w:val="24"/>
          </w:rPr>
          <w:t>_</w:t>
        </w:r>
        <w:r w:rsidR="00112F0B" w:rsidRPr="00615171">
          <w:rPr>
            <w:rStyle w:val="Hyperlink"/>
            <w:rFonts w:asciiTheme="majorBidi" w:hAnsiTheme="majorBidi" w:cstheme="majorBidi"/>
            <w:bCs/>
            <w:color w:val="000000" w:themeColor="text1"/>
            <w:sz w:val="24"/>
            <w:szCs w:val="24"/>
          </w:rPr>
          <w:t>policy</w:t>
        </w:r>
        <w:r w:rsidR="00112F0B" w:rsidRPr="00615171">
          <w:rPr>
            <w:rStyle w:val="Hyperlink"/>
            <w:rFonts w:asciiTheme="majorBidi" w:hAnsiTheme="majorBidi" w:cstheme="majorBidi"/>
            <w:color w:val="000000" w:themeColor="text1"/>
            <w:sz w:val="24"/>
            <w:szCs w:val="24"/>
          </w:rPr>
          <w:t>_graham.pdf</w:t>
        </w:r>
      </w:hyperlink>
      <w:r w:rsidR="00B13ECC" w:rsidRPr="00615171">
        <w:rPr>
          <w:rStyle w:val="Hyperlink"/>
          <w:rFonts w:asciiTheme="majorBidi" w:hAnsiTheme="majorBidi" w:cstheme="majorBidi"/>
          <w:color w:val="000000" w:themeColor="text1"/>
          <w:sz w:val="24"/>
          <w:szCs w:val="24"/>
          <w:u w:val="none"/>
        </w:rPr>
        <w:t xml:space="preserve"> [Accessed date: 15/04/2014]</w:t>
      </w:r>
    </w:p>
    <w:p w14:paraId="61B5E2A9" w14:textId="582390C9" w:rsidR="00BE0191" w:rsidRPr="00615171" w:rsidRDefault="00BE0191"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Grundy, E.</w:t>
      </w:r>
      <w:r w:rsidR="008753EF" w:rsidRPr="00615171">
        <w:rPr>
          <w:rFonts w:asciiTheme="majorBidi" w:hAnsiTheme="majorBidi" w:cstheme="majorBidi"/>
          <w:color w:val="000000" w:themeColor="text1"/>
          <w:sz w:val="24"/>
          <w:szCs w:val="24"/>
        </w:rPr>
        <w:t xml:space="preserve"> and </w:t>
      </w:r>
      <w:r w:rsidRPr="00615171">
        <w:rPr>
          <w:rFonts w:asciiTheme="majorBidi" w:hAnsiTheme="majorBidi" w:cstheme="majorBidi"/>
          <w:color w:val="000000" w:themeColor="text1"/>
          <w:sz w:val="24"/>
          <w:szCs w:val="24"/>
        </w:rPr>
        <w:t>Holt, G. (2001)</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The socioeconomic status of older adults: How should we measure it in studies of health inequalities?</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i/>
          <w:color w:val="000000" w:themeColor="text1"/>
          <w:sz w:val="24"/>
          <w:szCs w:val="24"/>
        </w:rPr>
        <w:t xml:space="preserve">Journal of Epidemiology Community Health </w:t>
      </w:r>
      <w:r w:rsidRPr="00615171">
        <w:rPr>
          <w:rFonts w:asciiTheme="majorBidi" w:hAnsiTheme="majorBidi" w:cstheme="majorBidi"/>
          <w:color w:val="000000" w:themeColor="text1"/>
          <w:sz w:val="24"/>
          <w:szCs w:val="24"/>
        </w:rPr>
        <w:t>55</w:t>
      </w:r>
      <w:r w:rsidR="00E6610A"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895–904.</w:t>
      </w:r>
    </w:p>
    <w:p w14:paraId="27A64C16" w14:textId="31C1AB0E" w:rsidR="004A1E26" w:rsidRPr="00615171" w:rsidRDefault="004A1E26"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Grundy, E. and Glaser, K. (2000) Socio-demographic differences in the onset and </w:t>
      </w:r>
      <w:proofErr w:type="spellStart"/>
      <w:r w:rsidRPr="00615171">
        <w:rPr>
          <w:rFonts w:asciiTheme="majorBidi" w:hAnsiTheme="majorBidi" w:cstheme="majorBidi"/>
          <w:color w:val="000000" w:themeColor="text1"/>
          <w:sz w:val="24"/>
          <w:szCs w:val="24"/>
        </w:rPr>
        <w:t>progresson</w:t>
      </w:r>
      <w:proofErr w:type="spellEnd"/>
      <w:r w:rsidRPr="00615171">
        <w:rPr>
          <w:rFonts w:asciiTheme="majorBidi" w:hAnsiTheme="majorBidi" w:cstheme="majorBidi"/>
          <w:color w:val="000000" w:themeColor="text1"/>
          <w:sz w:val="24"/>
          <w:szCs w:val="24"/>
        </w:rPr>
        <w:t xml:space="preserve"> of disability in early old age: a longitudinal study.  </w:t>
      </w:r>
      <w:r w:rsidRPr="00615171">
        <w:rPr>
          <w:rFonts w:asciiTheme="majorBidi" w:hAnsiTheme="majorBidi" w:cstheme="majorBidi"/>
          <w:i/>
          <w:color w:val="000000" w:themeColor="text1"/>
          <w:sz w:val="24"/>
          <w:szCs w:val="24"/>
        </w:rPr>
        <w:t>Age and Ageing</w:t>
      </w:r>
      <w:r w:rsidRPr="00615171">
        <w:rPr>
          <w:rFonts w:asciiTheme="majorBidi" w:hAnsiTheme="majorBidi" w:cstheme="majorBidi"/>
          <w:color w:val="000000" w:themeColor="text1"/>
          <w:sz w:val="24"/>
          <w:szCs w:val="24"/>
        </w:rPr>
        <w:t>, 29(2):149-57.</w:t>
      </w:r>
    </w:p>
    <w:p w14:paraId="046955A4" w14:textId="54E4EE86" w:rsidR="00AF6DB8" w:rsidRPr="00615171" w:rsidRDefault="00B87CC6"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Hafford-Letchfield, T. (2011) Grey matter really matters: A study of the learning opportunities and learning experiences of older people using social care services</w:t>
      </w:r>
      <w:r w:rsidRPr="00615171">
        <w:rPr>
          <w:rFonts w:asciiTheme="majorBidi" w:hAnsiTheme="majorBidi" w:cstheme="majorBidi"/>
          <w:i/>
          <w:color w:val="000000" w:themeColor="text1"/>
          <w:sz w:val="24"/>
          <w:szCs w:val="24"/>
        </w:rPr>
        <w:t>. International Journal of Education and Ageing</w:t>
      </w:r>
      <w:r w:rsidRPr="00615171">
        <w:rPr>
          <w:rFonts w:asciiTheme="majorBidi" w:hAnsiTheme="majorBidi" w:cstheme="majorBidi"/>
          <w:color w:val="000000" w:themeColor="text1"/>
          <w:sz w:val="24"/>
          <w:szCs w:val="24"/>
        </w:rPr>
        <w:t xml:space="preserve"> 2(1)</w:t>
      </w:r>
      <w:r w:rsidR="00E64ACE">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8-23</w:t>
      </w:r>
      <w:r w:rsidR="00AF6DB8" w:rsidRPr="00615171">
        <w:rPr>
          <w:rFonts w:asciiTheme="majorBidi" w:hAnsiTheme="majorBidi" w:cstheme="majorBidi"/>
          <w:color w:val="000000" w:themeColor="text1"/>
          <w:sz w:val="24"/>
          <w:szCs w:val="24"/>
        </w:rPr>
        <w:t xml:space="preserve">. </w:t>
      </w:r>
    </w:p>
    <w:p w14:paraId="506B2D87" w14:textId="2A0FE4E6" w:rsidR="00895348" w:rsidRPr="00615171" w:rsidRDefault="00895348"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Hafford-Letchfield, T (2013) Social class and later life. In M. </w:t>
      </w:r>
      <w:proofErr w:type="gramStart"/>
      <w:r w:rsidRPr="00615171">
        <w:rPr>
          <w:rFonts w:asciiTheme="majorBidi" w:hAnsiTheme="majorBidi" w:cstheme="majorBidi"/>
          <w:color w:val="000000" w:themeColor="text1"/>
          <w:sz w:val="24"/>
          <w:szCs w:val="24"/>
        </w:rPr>
        <w:t>Formosa,  P.</w:t>
      </w:r>
      <w:proofErr w:type="gramEnd"/>
      <w:r w:rsidRPr="00615171">
        <w:rPr>
          <w:rFonts w:asciiTheme="majorBidi" w:hAnsiTheme="majorBidi" w:cstheme="majorBidi"/>
          <w:color w:val="000000" w:themeColor="text1"/>
          <w:sz w:val="24"/>
          <w:szCs w:val="24"/>
        </w:rPr>
        <w:t xml:space="preserve"> Higgs, P. (eds) </w:t>
      </w:r>
      <w:r w:rsidRPr="00615171">
        <w:rPr>
          <w:rFonts w:asciiTheme="majorBidi" w:hAnsiTheme="majorBidi" w:cstheme="majorBidi"/>
          <w:i/>
          <w:color w:val="000000" w:themeColor="text1"/>
          <w:sz w:val="24"/>
          <w:szCs w:val="24"/>
        </w:rPr>
        <w:t>Social class in later life: Power, identity and lifestyle</w:t>
      </w:r>
      <w:r w:rsidRPr="00615171">
        <w:rPr>
          <w:rFonts w:asciiTheme="majorBidi" w:hAnsiTheme="majorBidi" w:cstheme="majorBidi"/>
          <w:color w:val="000000" w:themeColor="text1"/>
          <w:sz w:val="24"/>
          <w:szCs w:val="24"/>
        </w:rPr>
        <w:t>.  Bristol, Policy Press</w:t>
      </w:r>
    </w:p>
    <w:p w14:paraId="19C55702" w14:textId="77777777" w:rsidR="00A752D0" w:rsidRPr="00615171" w:rsidRDefault="00A752D0"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Jone</w:t>
      </w:r>
      <w:proofErr w:type="spellEnd"/>
      <w:r w:rsidRPr="00615171">
        <w:rPr>
          <w:rFonts w:asciiTheme="majorBidi" w:hAnsiTheme="majorBidi" w:cstheme="majorBidi"/>
          <w:color w:val="000000" w:themeColor="text1"/>
          <w:sz w:val="24"/>
          <w:szCs w:val="24"/>
        </w:rPr>
        <w:t xml:space="preserve">, A.M. and Nicolas, A.L. (2004). Measuring and Explanation of Socioeconomic Inequality in Health with Longitudinal Data. </w:t>
      </w:r>
      <w:r w:rsidRPr="00615171">
        <w:rPr>
          <w:rFonts w:asciiTheme="majorBidi" w:hAnsiTheme="majorBidi" w:cstheme="majorBidi"/>
          <w:i/>
          <w:iCs/>
          <w:color w:val="000000" w:themeColor="text1"/>
          <w:sz w:val="24"/>
          <w:szCs w:val="24"/>
        </w:rPr>
        <w:t>Health Economics</w:t>
      </w:r>
      <w:r w:rsidRPr="00615171">
        <w:rPr>
          <w:rFonts w:asciiTheme="majorBidi" w:hAnsiTheme="majorBidi" w:cstheme="majorBidi"/>
          <w:color w:val="000000" w:themeColor="text1"/>
          <w:sz w:val="24"/>
          <w:szCs w:val="24"/>
        </w:rPr>
        <w:t xml:space="preserve"> 13:1015-1030.</w:t>
      </w:r>
    </w:p>
    <w:p w14:paraId="641639FE" w14:textId="18950055" w:rsidR="0037617B" w:rsidRPr="00615171" w:rsidRDefault="0037617B"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Jenkins, </w:t>
      </w:r>
      <w:r w:rsidR="00913415" w:rsidRPr="00615171">
        <w:rPr>
          <w:rFonts w:asciiTheme="majorBidi" w:hAnsiTheme="majorBidi" w:cstheme="majorBidi"/>
          <w:color w:val="000000" w:themeColor="text1"/>
          <w:sz w:val="24"/>
          <w:szCs w:val="24"/>
        </w:rPr>
        <w:t>A (</w:t>
      </w:r>
      <w:r w:rsidRPr="00615171">
        <w:rPr>
          <w:rFonts w:asciiTheme="majorBidi" w:hAnsiTheme="majorBidi" w:cstheme="majorBidi"/>
          <w:color w:val="000000" w:themeColor="text1"/>
          <w:sz w:val="24"/>
          <w:szCs w:val="24"/>
        </w:rPr>
        <w:t>2011</w:t>
      </w:r>
      <w:r w:rsidR="00913415" w:rsidRPr="00615171">
        <w:rPr>
          <w:rFonts w:asciiTheme="majorBidi" w:hAnsiTheme="majorBidi" w:cstheme="majorBidi"/>
          <w:color w:val="000000" w:themeColor="text1"/>
          <w:sz w:val="24"/>
          <w:szCs w:val="24"/>
        </w:rPr>
        <w:t xml:space="preserve">) Participation in learning and wellbeing among older adults. </w:t>
      </w:r>
      <w:r w:rsidR="00913415" w:rsidRPr="00615171">
        <w:rPr>
          <w:rFonts w:asciiTheme="majorBidi" w:hAnsiTheme="majorBidi" w:cstheme="majorBidi"/>
          <w:i/>
          <w:color w:val="000000" w:themeColor="text1"/>
          <w:sz w:val="24"/>
          <w:szCs w:val="24"/>
        </w:rPr>
        <w:t>International Journal of Lifelong Education</w:t>
      </w:r>
      <w:r w:rsidR="00913415" w:rsidRPr="00615171">
        <w:rPr>
          <w:rFonts w:asciiTheme="majorBidi" w:hAnsiTheme="majorBidi" w:cstheme="majorBidi"/>
          <w:color w:val="000000" w:themeColor="text1"/>
          <w:sz w:val="24"/>
          <w:szCs w:val="24"/>
        </w:rPr>
        <w:t xml:space="preserve"> 30(3): 403-20</w:t>
      </w:r>
    </w:p>
    <w:p w14:paraId="42A7AF35" w14:textId="77777777" w:rsidR="00804C48" w:rsidRPr="00615171" w:rsidRDefault="00804C48"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pacing w:val="5"/>
          <w:sz w:val="24"/>
          <w:szCs w:val="24"/>
        </w:rPr>
      </w:pPr>
      <w:r w:rsidRPr="00615171">
        <w:rPr>
          <w:rFonts w:asciiTheme="majorBidi" w:hAnsiTheme="majorBidi" w:cstheme="majorBidi"/>
          <w:color w:val="000000" w:themeColor="text1"/>
          <w:sz w:val="24"/>
          <w:szCs w:val="24"/>
        </w:rPr>
        <w:lastRenderedPageBreak/>
        <w:t xml:space="preserve">Khan, H.T.A. and Raeside, R. (2014). </w:t>
      </w:r>
      <w:r w:rsidRPr="00615171">
        <w:rPr>
          <w:rFonts w:asciiTheme="majorBidi" w:hAnsiTheme="majorBidi" w:cstheme="majorBidi"/>
          <w:color w:val="000000" w:themeColor="text1"/>
          <w:spacing w:val="5"/>
          <w:sz w:val="24"/>
          <w:szCs w:val="24"/>
        </w:rPr>
        <w:t xml:space="preserve">Between Country Variations in Self-Rated-Health and Associations with the Quality of Life of Older People: Evidence from the Global Ageing Survey, </w:t>
      </w:r>
      <w:r w:rsidRPr="00615171">
        <w:rPr>
          <w:rFonts w:asciiTheme="majorBidi" w:hAnsiTheme="majorBidi" w:cstheme="majorBidi"/>
          <w:i/>
          <w:iCs/>
          <w:color w:val="000000" w:themeColor="text1"/>
          <w:spacing w:val="5"/>
          <w:sz w:val="24"/>
          <w:szCs w:val="24"/>
        </w:rPr>
        <w:t>Applied Research in Quality of Life</w:t>
      </w:r>
      <w:r w:rsidRPr="00615171">
        <w:rPr>
          <w:rFonts w:asciiTheme="majorBidi" w:hAnsiTheme="majorBidi" w:cstheme="majorBidi"/>
          <w:color w:val="000000" w:themeColor="text1"/>
          <w:spacing w:val="5"/>
          <w:sz w:val="24"/>
          <w:szCs w:val="24"/>
        </w:rPr>
        <w:t xml:space="preserve"> 9(4):923-949. </w:t>
      </w:r>
    </w:p>
    <w:p w14:paraId="35F96909" w14:textId="01FC09A9" w:rsidR="00F71F89" w:rsidRPr="00615171" w:rsidRDefault="00F71F89" w:rsidP="00615171">
      <w:pPr>
        <w:autoSpaceDE w:val="0"/>
        <w:autoSpaceDN w:val="0"/>
        <w:adjustRightInd w:val="0"/>
        <w:spacing w:after="0" w:line="240" w:lineRule="auto"/>
        <w:ind w:left="801" w:hangingChars="327" w:hanging="801"/>
        <w:jc w:val="both"/>
        <w:rPr>
          <w:rFonts w:asciiTheme="majorBidi" w:hAnsiTheme="majorBidi" w:cstheme="majorBidi"/>
          <w:color w:val="000000" w:themeColor="text1"/>
          <w:spacing w:val="5"/>
          <w:sz w:val="24"/>
          <w:szCs w:val="24"/>
        </w:rPr>
      </w:pPr>
      <w:r w:rsidRPr="00615171">
        <w:rPr>
          <w:rFonts w:asciiTheme="majorBidi" w:hAnsiTheme="majorBidi" w:cstheme="majorBidi"/>
          <w:color w:val="000000" w:themeColor="text1"/>
          <w:spacing w:val="5"/>
          <w:sz w:val="24"/>
          <w:szCs w:val="24"/>
        </w:rPr>
        <w:t xml:space="preserve">Khan, H.T.A. and Flynn, M. (2015). </w:t>
      </w:r>
      <w:r w:rsidRPr="00615171">
        <w:rPr>
          <w:rFonts w:asciiTheme="majorBidi" w:hAnsiTheme="majorBidi" w:cstheme="majorBidi"/>
          <w:color w:val="000000" w:themeColor="text1"/>
          <w:sz w:val="24"/>
          <w:szCs w:val="24"/>
          <w:lang w:val="en-GB"/>
        </w:rPr>
        <w:t xml:space="preserve">Self-Reported Health Status of Older Adults in Malaysia and Singapore: Evidence from the 2007 Global Ageing Survey. </w:t>
      </w:r>
      <w:r w:rsidRPr="00615171">
        <w:rPr>
          <w:rFonts w:asciiTheme="majorBidi" w:hAnsiTheme="majorBidi" w:cstheme="majorBidi"/>
          <w:i/>
          <w:iCs/>
          <w:color w:val="000000" w:themeColor="text1"/>
          <w:spacing w:val="5"/>
          <w:sz w:val="24"/>
          <w:szCs w:val="24"/>
        </w:rPr>
        <w:t>Applied Research in Quality of Life</w:t>
      </w:r>
      <w:r w:rsidR="00E64ACE">
        <w:rPr>
          <w:rFonts w:asciiTheme="majorBidi" w:hAnsiTheme="majorBidi" w:cstheme="majorBidi"/>
          <w:i/>
          <w:iCs/>
          <w:color w:val="000000" w:themeColor="text1"/>
          <w:spacing w:val="5"/>
          <w:sz w:val="24"/>
          <w:szCs w:val="24"/>
        </w:rPr>
        <w:t xml:space="preserve"> </w:t>
      </w:r>
      <w:r w:rsidR="00E64ACE" w:rsidRPr="00615171">
        <w:rPr>
          <w:rFonts w:asciiTheme="majorBidi" w:hAnsiTheme="majorBidi" w:cstheme="majorBidi"/>
          <w:color w:val="000000" w:themeColor="text1"/>
          <w:spacing w:val="5"/>
          <w:sz w:val="24"/>
          <w:szCs w:val="24"/>
        </w:rPr>
        <w:t>(accepted)</w:t>
      </w:r>
      <w:r w:rsidRPr="00615171">
        <w:rPr>
          <w:rFonts w:asciiTheme="majorBidi" w:hAnsiTheme="majorBidi" w:cstheme="majorBidi"/>
          <w:color w:val="000000" w:themeColor="text1"/>
          <w:spacing w:val="5"/>
          <w:sz w:val="24"/>
          <w:szCs w:val="24"/>
        </w:rPr>
        <w:t>.</w:t>
      </w:r>
      <w:r w:rsidRPr="00615171">
        <w:rPr>
          <w:rFonts w:asciiTheme="majorBidi" w:hAnsiTheme="majorBidi" w:cstheme="majorBidi"/>
          <w:i/>
          <w:iCs/>
          <w:color w:val="000000" w:themeColor="text1"/>
          <w:spacing w:val="5"/>
          <w:sz w:val="24"/>
          <w:szCs w:val="24"/>
        </w:rPr>
        <w:t xml:space="preserve"> </w:t>
      </w:r>
    </w:p>
    <w:p w14:paraId="16CE949C" w14:textId="721FAEB6" w:rsidR="00610403" w:rsidRPr="00615171" w:rsidRDefault="00610403" w:rsidP="00615171">
      <w:pPr>
        <w:autoSpaceDE w:val="0"/>
        <w:autoSpaceDN w:val="0"/>
        <w:adjustRightInd w:val="0"/>
        <w:spacing w:after="0" w:line="240" w:lineRule="auto"/>
        <w:ind w:left="801" w:hangingChars="327" w:hanging="801"/>
        <w:jc w:val="both"/>
        <w:rPr>
          <w:rFonts w:asciiTheme="majorBidi" w:hAnsiTheme="majorBidi" w:cstheme="majorBidi"/>
          <w:color w:val="000000" w:themeColor="text1"/>
          <w:spacing w:val="5"/>
          <w:sz w:val="24"/>
          <w:szCs w:val="24"/>
        </w:rPr>
      </w:pPr>
      <w:r w:rsidRPr="00615171">
        <w:rPr>
          <w:rFonts w:asciiTheme="majorBidi" w:hAnsiTheme="majorBidi" w:cstheme="majorBidi"/>
          <w:color w:val="000000" w:themeColor="text1"/>
          <w:spacing w:val="5"/>
          <w:sz w:val="24"/>
          <w:szCs w:val="24"/>
        </w:rPr>
        <w:t xml:space="preserve">Khan, H.T.A, Leeson, G.W. Findlay, H. (2013). Attitudes towards bearing the cost of care in later life across the world, </w:t>
      </w:r>
      <w:r w:rsidRPr="00615171">
        <w:rPr>
          <w:rFonts w:asciiTheme="majorBidi" w:hAnsiTheme="majorBidi" w:cstheme="majorBidi"/>
          <w:i/>
          <w:iCs/>
          <w:color w:val="000000" w:themeColor="text1"/>
          <w:spacing w:val="5"/>
          <w:sz w:val="24"/>
          <w:szCs w:val="24"/>
        </w:rPr>
        <w:t>Illness, Crisis and Loss</w:t>
      </w:r>
      <w:r w:rsidRPr="00615171">
        <w:rPr>
          <w:rFonts w:asciiTheme="majorBidi" w:hAnsiTheme="majorBidi" w:cstheme="majorBidi"/>
          <w:color w:val="000000" w:themeColor="text1"/>
          <w:spacing w:val="5"/>
          <w:sz w:val="24"/>
          <w:szCs w:val="24"/>
        </w:rPr>
        <w:t xml:space="preserve"> </w:t>
      </w:r>
      <w:r w:rsidRPr="00615171">
        <w:rPr>
          <w:rFonts w:asciiTheme="majorBidi" w:hAnsiTheme="majorBidi" w:cstheme="majorBidi"/>
          <w:b/>
          <w:bCs/>
          <w:color w:val="000000" w:themeColor="text1"/>
          <w:spacing w:val="5"/>
          <w:sz w:val="24"/>
          <w:szCs w:val="24"/>
        </w:rPr>
        <w:t>21</w:t>
      </w:r>
      <w:r w:rsidRPr="00615171">
        <w:rPr>
          <w:rFonts w:asciiTheme="majorBidi" w:hAnsiTheme="majorBidi" w:cstheme="majorBidi"/>
          <w:color w:val="000000" w:themeColor="text1"/>
          <w:spacing w:val="5"/>
          <w:sz w:val="24"/>
          <w:szCs w:val="24"/>
        </w:rPr>
        <w:t xml:space="preserve">(1):49-69. </w:t>
      </w:r>
    </w:p>
    <w:p w14:paraId="4C5079C0" w14:textId="273A89AF" w:rsidR="005B4A0E" w:rsidRPr="00615171" w:rsidRDefault="005B4A0E" w:rsidP="00615171">
      <w:pPr>
        <w:autoSpaceDE w:val="0"/>
        <w:autoSpaceDN w:val="0"/>
        <w:adjustRightInd w:val="0"/>
        <w:spacing w:after="0" w:line="240" w:lineRule="auto"/>
        <w:ind w:left="801" w:hangingChars="327" w:hanging="801"/>
        <w:jc w:val="both"/>
        <w:rPr>
          <w:rFonts w:asciiTheme="majorBidi" w:hAnsiTheme="majorBidi" w:cstheme="majorBidi"/>
          <w:color w:val="000000" w:themeColor="text1"/>
          <w:spacing w:val="5"/>
          <w:sz w:val="24"/>
          <w:szCs w:val="24"/>
        </w:rPr>
      </w:pPr>
      <w:r w:rsidRPr="00615171">
        <w:rPr>
          <w:rFonts w:asciiTheme="majorBidi" w:hAnsiTheme="majorBidi" w:cstheme="majorBidi"/>
          <w:color w:val="000000" w:themeColor="text1"/>
          <w:spacing w:val="5"/>
          <w:sz w:val="24"/>
          <w:szCs w:val="24"/>
        </w:rPr>
        <w:t>Kirkwood, T. B.L. (2014) Biological determinants and malleability of ageing. In T.</w:t>
      </w:r>
      <w:proofErr w:type="gramStart"/>
      <w:r w:rsidRPr="00615171">
        <w:rPr>
          <w:rFonts w:asciiTheme="majorBidi" w:hAnsiTheme="majorBidi" w:cstheme="majorBidi"/>
          <w:color w:val="000000" w:themeColor="text1"/>
          <w:spacing w:val="5"/>
          <w:sz w:val="24"/>
          <w:szCs w:val="24"/>
        </w:rPr>
        <w:t>B.L</w:t>
      </w:r>
      <w:proofErr w:type="gramEnd"/>
      <w:r w:rsidRPr="00615171">
        <w:rPr>
          <w:rFonts w:asciiTheme="majorBidi" w:hAnsiTheme="majorBidi" w:cstheme="majorBidi"/>
          <w:color w:val="000000" w:themeColor="text1"/>
          <w:spacing w:val="5"/>
          <w:sz w:val="24"/>
          <w:szCs w:val="24"/>
        </w:rPr>
        <w:t xml:space="preserve"> Kirkwood and </w:t>
      </w:r>
      <w:proofErr w:type="spellStart"/>
      <w:r w:rsidRPr="00615171">
        <w:rPr>
          <w:rFonts w:asciiTheme="majorBidi" w:hAnsiTheme="majorBidi" w:cstheme="majorBidi"/>
          <w:color w:val="000000" w:themeColor="text1"/>
          <w:spacing w:val="5"/>
          <w:sz w:val="24"/>
          <w:szCs w:val="24"/>
        </w:rPr>
        <w:t>G.Cooper</w:t>
      </w:r>
      <w:proofErr w:type="spellEnd"/>
      <w:r w:rsidRPr="00615171">
        <w:rPr>
          <w:rFonts w:asciiTheme="majorBidi" w:hAnsiTheme="majorBidi" w:cstheme="majorBidi"/>
          <w:color w:val="000000" w:themeColor="text1"/>
          <w:spacing w:val="5"/>
          <w:sz w:val="24"/>
          <w:szCs w:val="24"/>
        </w:rPr>
        <w:t>. (</w:t>
      </w:r>
      <w:proofErr w:type="spellStart"/>
      <w:r w:rsidRPr="00615171">
        <w:rPr>
          <w:rFonts w:asciiTheme="majorBidi" w:hAnsiTheme="majorBidi" w:cstheme="majorBidi"/>
          <w:color w:val="000000" w:themeColor="text1"/>
          <w:spacing w:val="5"/>
          <w:sz w:val="24"/>
          <w:szCs w:val="24"/>
        </w:rPr>
        <w:t>eds</w:t>
      </w:r>
      <w:proofErr w:type="spellEnd"/>
      <w:r w:rsidRPr="00615171">
        <w:rPr>
          <w:rFonts w:asciiTheme="majorBidi" w:hAnsiTheme="majorBidi" w:cstheme="majorBidi"/>
          <w:color w:val="000000" w:themeColor="text1"/>
          <w:spacing w:val="5"/>
          <w:sz w:val="24"/>
          <w:szCs w:val="24"/>
        </w:rPr>
        <w:t xml:space="preserve">) </w:t>
      </w:r>
      <w:r w:rsidRPr="00615171">
        <w:rPr>
          <w:rFonts w:asciiTheme="majorBidi" w:hAnsiTheme="majorBidi" w:cstheme="majorBidi"/>
          <w:i/>
          <w:color w:val="000000" w:themeColor="text1"/>
          <w:spacing w:val="5"/>
          <w:sz w:val="24"/>
          <w:szCs w:val="24"/>
        </w:rPr>
        <w:t>Wellbeing in Later Life</w:t>
      </w:r>
      <w:r w:rsidRPr="00615171">
        <w:rPr>
          <w:rFonts w:asciiTheme="majorBidi" w:hAnsiTheme="majorBidi" w:cstheme="majorBidi"/>
          <w:color w:val="000000" w:themeColor="text1"/>
          <w:spacing w:val="5"/>
          <w:sz w:val="24"/>
          <w:szCs w:val="24"/>
        </w:rPr>
        <w:t>, West Sussex, Wiley Blackwell.</w:t>
      </w:r>
    </w:p>
    <w:p w14:paraId="3C3F3D82" w14:textId="677651FF" w:rsidR="001049ED" w:rsidRPr="00615171" w:rsidRDefault="001049ED"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Knesebeck</w:t>
      </w:r>
      <w:proofErr w:type="spellEnd"/>
      <w:r w:rsidRPr="00615171">
        <w:rPr>
          <w:rFonts w:asciiTheme="majorBidi" w:hAnsiTheme="majorBidi" w:cstheme="majorBidi"/>
          <w:color w:val="000000" w:themeColor="text1"/>
          <w:sz w:val="24"/>
          <w:szCs w:val="24"/>
        </w:rPr>
        <w:t xml:space="preserve">, O., </w:t>
      </w:r>
      <w:proofErr w:type="spellStart"/>
      <w:r w:rsidRPr="00615171">
        <w:rPr>
          <w:rFonts w:asciiTheme="majorBidi" w:hAnsiTheme="majorBidi" w:cstheme="majorBidi"/>
          <w:color w:val="000000" w:themeColor="text1"/>
          <w:sz w:val="24"/>
          <w:szCs w:val="24"/>
        </w:rPr>
        <w:t>Luschen</w:t>
      </w:r>
      <w:proofErr w:type="spellEnd"/>
      <w:r w:rsidRPr="00615171">
        <w:rPr>
          <w:rFonts w:asciiTheme="majorBidi" w:hAnsiTheme="majorBidi" w:cstheme="majorBidi"/>
          <w:color w:val="000000" w:themeColor="text1"/>
          <w:sz w:val="24"/>
          <w:szCs w:val="24"/>
        </w:rPr>
        <w:t xml:space="preserve">, G., </w:t>
      </w:r>
      <w:proofErr w:type="spellStart"/>
      <w:r w:rsidRPr="00615171">
        <w:rPr>
          <w:rFonts w:asciiTheme="majorBidi" w:hAnsiTheme="majorBidi" w:cstheme="majorBidi"/>
          <w:color w:val="000000" w:themeColor="text1"/>
          <w:sz w:val="24"/>
          <w:szCs w:val="24"/>
        </w:rPr>
        <w:t>Cockerham</w:t>
      </w:r>
      <w:proofErr w:type="spellEnd"/>
      <w:r w:rsidRPr="00615171">
        <w:rPr>
          <w:rFonts w:asciiTheme="majorBidi" w:hAnsiTheme="majorBidi" w:cstheme="majorBidi"/>
          <w:color w:val="000000" w:themeColor="text1"/>
          <w:sz w:val="24"/>
          <w:szCs w:val="24"/>
        </w:rPr>
        <w:t>, W. C., and Siegrist, J. (2003)</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‘Socioeconomic status and health among the aged in the United States and Germany: A comparative cross-sectional study’, </w:t>
      </w:r>
      <w:r w:rsidRPr="00615171">
        <w:rPr>
          <w:rFonts w:asciiTheme="majorBidi" w:hAnsiTheme="majorBidi" w:cstheme="majorBidi"/>
          <w:i/>
          <w:color w:val="000000" w:themeColor="text1"/>
          <w:sz w:val="24"/>
          <w:szCs w:val="24"/>
        </w:rPr>
        <w:t>Social Science &amp; Medicine</w:t>
      </w:r>
      <w:r w:rsidRPr="00615171">
        <w:rPr>
          <w:rFonts w:asciiTheme="majorBidi" w:hAnsiTheme="majorBidi" w:cstheme="majorBidi"/>
          <w:color w:val="000000" w:themeColor="text1"/>
          <w:sz w:val="24"/>
          <w:szCs w:val="24"/>
        </w:rPr>
        <w:t xml:space="preserve"> 57:1643–1652.</w:t>
      </w:r>
    </w:p>
    <w:p w14:paraId="28D2F659" w14:textId="265CCF97" w:rsidR="00072C29" w:rsidRPr="00615171" w:rsidRDefault="00072C29" w:rsidP="00072C29">
      <w:pPr>
        <w:pStyle w:val="NoSpacing"/>
        <w:ind w:left="567" w:hanging="567"/>
        <w:rPr>
          <w:rFonts w:asciiTheme="majorBidi" w:hAnsiTheme="majorBidi" w:cstheme="majorBidi"/>
          <w:color w:val="000000" w:themeColor="text1"/>
          <w:szCs w:val="24"/>
        </w:rPr>
      </w:pPr>
      <w:r w:rsidRPr="00615171">
        <w:rPr>
          <w:rFonts w:asciiTheme="majorBidi" w:hAnsiTheme="majorBidi" w:cstheme="majorBidi"/>
          <w:color w:val="000000" w:themeColor="text1"/>
          <w:szCs w:val="24"/>
        </w:rPr>
        <w:t xml:space="preserve">Leeson, G.W. and Khan, H.T.A. (2015). The move to abolish mandatory retirement age: The case of the United Kingdom. In: </w:t>
      </w:r>
      <w:r w:rsidRPr="00615171">
        <w:rPr>
          <w:rFonts w:asciiTheme="majorBidi" w:hAnsiTheme="majorBidi" w:cstheme="majorBidi"/>
          <w:i/>
          <w:iCs/>
          <w:color w:val="000000" w:themeColor="text1"/>
          <w:szCs w:val="24"/>
        </w:rPr>
        <w:t>M</w:t>
      </w:r>
      <w:r w:rsidRPr="00615171">
        <w:rPr>
          <w:rFonts w:asciiTheme="majorBidi" w:hAnsiTheme="majorBidi" w:cstheme="majorBidi"/>
          <w:bCs/>
          <w:i/>
          <w:iCs/>
          <w:color w:val="000000" w:themeColor="text1"/>
          <w:szCs w:val="24"/>
        </w:rPr>
        <w:t xml:space="preserve">andatory Retirement in Japan and South Korea: The Past, Present, and Future, by </w:t>
      </w:r>
      <w:r w:rsidRPr="00615171">
        <w:rPr>
          <w:rFonts w:asciiTheme="majorBidi" w:hAnsiTheme="majorBidi" w:cstheme="majorBidi"/>
          <w:color w:val="000000" w:themeColor="text1"/>
          <w:szCs w:val="24"/>
        </w:rPr>
        <w:t xml:space="preserve">Masa Higo and Thomas Klassen. Routledge. </w:t>
      </w:r>
    </w:p>
    <w:p w14:paraId="612789C1" w14:textId="16DC9935" w:rsidR="000E099A" w:rsidRPr="00615171" w:rsidRDefault="007F5734" w:rsidP="00072C29">
      <w:pPr>
        <w:autoSpaceDE w:val="0"/>
        <w:autoSpaceDN w:val="0"/>
        <w:adjustRightInd w:val="0"/>
        <w:spacing w:after="0" w:line="240" w:lineRule="auto"/>
        <w:ind w:left="567" w:hanging="567"/>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Marmot, M.</w:t>
      </w:r>
      <w:r w:rsidR="00E6610A" w:rsidRPr="00615171">
        <w:rPr>
          <w:rFonts w:asciiTheme="majorBidi" w:hAnsiTheme="majorBidi" w:cstheme="majorBidi"/>
          <w:color w:val="000000" w:themeColor="text1"/>
          <w:sz w:val="24"/>
          <w:szCs w:val="24"/>
        </w:rPr>
        <w:t xml:space="preserve">, </w:t>
      </w:r>
      <w:r w:rsidR="000E099A" w:rsidRPr="00615171">
        <w:rPr>
          <w:rFonts w:asciiTheme="majorBidi" w:hAnsiTheme="majorBidi" w:cstheme="majorBidi"/>
          <w:color w:val="000000" w:themeColor="text1"/>
          <w:sz w:val="24"/>
          <w:szCs w:val="24"/>
        </w:rPr>
        <w:t xml:space="preserve">Rose, </w:t>
      </w:r>
      <w:r w:rsidR="00E6610A" w:rsidRPr="00615171">
        <w:rPr>
          <w:rFonts w:asciiTheme="majorBidi" w:hAnsiTheme="majorBidi" w:cstheme="majorBidi"/>
          <w:color w:val="000000" w:themeColor="text1"/>
          <w:sz w:val="24"/>
          <w:szCs w:val="24"/>
        </w:rPr>
        <w:t xml:space="preserve">G., </w:t>
      </w:r>
      <w:r w:rsidR="000E099A" w:rsidRPr="00615171">
        <w:rPr>
          <w:rFonts w:asciiTheme="majorBidi" w:hAnsiTheme="majorBidi" w:cstheme="majorBidi"/>
          <w:color w:val="000000" w:themeColor="text1"/>
          <w:sz w:val="24"/>
          <w:szCs w:val="24"/>
        </w:rPr>
        <w:t>Shipley,</w:t>
      </w:r>
      <w:r w:rsidR="00E6610A" w:rsidRPr="00615171">
        <w:rPr>
          <w:rFonts w:asciiTheme="majorBidi" w:hAnsiTheme="majorBidi" w:cstheme="majorBidi"/>
          <w:color w:val="000000" w:themeColor="text1"/>
          <w:sz w:val="24"/>
          <w:szCs w:val="24"/>
        </w:rPr>
        <w:t xml:space="preserve"> M. and Hamilton, P.J.S. (1978)</w:t>
      </w:r>
      <w:r w:rsidR="00E02996" w:rsidRPr="00615171">
        <w:rPr>
          <w:rFonts w:asciiTheme="majorBidi" w:hAnsiTheme="majorBidi" w:cstheme="majorBidi"/>
          <w:color w:val="000000" w:themeColor="text1"/>
          <w:sz w:val="24"/>
          <w:szCs w:val="24"/>
        </w:rPr>
        <w:t>.</w:t>
      </w:r>
      <w:r w:rsidR="000E099A" w:rsidRPr="00615171">
        <w:rPr>
          <w:rFonts w:asciiTheme="majorBidi" w:hAnsiTheme="majorBidi" w:cstheme="majorBidi"/>
          <w:color w:val="000000" w:themeColor="text1"/>
          <w:sz w:val="24"/>
          <w:szCs w:val="24"/>
        </w:rPr>
        <w:t xml:space="preserve"> ‘Employment grade and</w:t>
      </w:r>
      <w:r w:rsidR="005A32A3">
        <w:rPr>
          <w:rFonts w:asciiTheme="majorBidi" w:hAnsiTheme="majorBidi" w:cstheme="majorBidi"/>
          <w:color w:val="000000" w:themeColor="text1"/>
          <w:sz w:val="24"/>
          <w:szCs w:val="24"/>
        </w:rPr>
        <w:t xml:space="preserve"> </w:t>
      </w:r>
      <w:r w:rsidR="000E099A" w:rsidRPr="00615171">
        <w:rPr>
          <w:rFonts w:asciiTheme="majorBidi" w:hAnsiTheme="majorBidi" w:cstheme="majorBidi"/>
          <w:color w:val="000000" w:themeColor="text1"/>
          <w:sz w:val="24"/>
          <w:szCs w:val="24"/>
        </w:rPr>
        <w:t>coronary heart disease in British civil servants’</w:t>
      </w:r>
      <w:r w:rsidR="00E6610A" w:rsidRPr="00615171">
        <w:rPr>
          <w:rFonts w:asciiTheme="majorBidi" w:hAnsiTheme="majorBidi" w:cstheme="majorBidi"/>
          <w:color w:val="000000" w:themeColor="text1"/>
          <w:sz w:val="24"/>
          <w:szCs w:val="24"/>
        </w:rPr>
        <w:t>,</w:t>
      </w:r>
      <w:r w:rsidR="00D32B21" w:rsidRPr="00615171">
        <w:rPr>
          <w:rFonts w:asciiTheme="majorBidi" w:hAnsiTheme="majorBidi" w:cstheme="majorBidi"/>
          <w:color w:val="000000" w:themeColor="text1"/>
          <w:sz w:val="24"/>
          <w:szCs w:val="24"/>
        </w:rPr>
        <w:t xml:space="preserve"> </w:t>
      </w:r>
      <w:r w:rsidR="000E099A" w:rsidRPr="00615171">
        <w:rPr>
          <w:rFonts w:asciiTheme="majorBidi" w:hAnsiTheme="majorBidi" w:cstheme="majorBidi"/>
          <w:i/>
          <w:iCs/>
          <w:color w:val="000000" w:themeColor="text1"/>
          <w:sz w:val="24"/>
          <w:szCs w:val="24"/>
        </w:rPr>
        <w:t>Journal of Epidemiology and Community</w:t>
      </w:r>
      <w:r w:rsidR="008B773C" w:rsidRPr="00615171">
        <w:rPr>
          <w:rFonts w:asciiTheme="majorBidi" w:hAnsiTheme="majorBidi" w:cstheme="majorBidi"/>
          <w:color w:val="000000" w:themeColor="text1"/>
          <w:sz w:val="24"/>
          <w:szCs w:val="24"/>
        </w:rPr>
        <w:t xml:space="preserve"> </w:t>
      </w:r>
      <w:r w:rsidR="00420F16" w:rsidRPr="00615171">
        <w:rPr>
          <w:rFonts w:asciiTheme="majorBidi" w:hAnsiTheme="majorBidi" w:cstheme="majorBidi"/>
          <w:i/>
          <w:iCs/>
          <w:color w:val="000000" w:themeColor="text1"/>
          <w:sz w:val="24"/>
          <w:szCs w:val="24"/>
        </w:rPr>
        <w:t>Health</w:t>
      </w:r>
      <w:r w:rsidR="00E6610A" w:rsidRPr="00615171">
        <w:rPr>
          <w:rFonts w:asciiTheme="majorBidi" w:hAnsiTheme="majorBidi" w:cstheme="majorBidi"/>
          <w:i/>
          <w:iCs/>
          <w:color w:val="000000" w:themeColor="text1"/>
          <w:sz w:val="24"/>
          <w:szCs w:val="24"/>
        </w:rPr>
        <w:t xml:space="preserve"> </w:t>
      </w:r>
      <w:r w:rsidR="00420F16" w:rsidRPr="00615171">
        <w:rPr>
          <w:rFonts w:asciiTheme="majorBidi" w:hAnsiTheme="majorBidi" w:cstheme="majorBidi"/>
          <w:color w:val="000000" w:themeColor="text1"/>
          <w:sz w:val="24"/>
          <w:szCs w:val="24"/>
        </w:rPr>
        <w:t>32:</w:t>
      </w:r>
      <w:r w:rsidR="000E099A" w:rsidRPr="00615171">
        <w:rPr>
          <w:rFonts w:asciiTheme="majorBidi" w:hAnsiTheme="majorBidi" w:cstheme="majorBidi"/>
          <w:color w:val="000000" w:themeColor="text1"/>
          <w:sz w:val="24"/>
          <w:szCs w:val="24"/>
        </w:rPr>
        <w:t>244-249</w:t>
      </w:r>
      <w:r w:rsidR="00737A63" w:rsidRPr="00615171">
        <w:rPr>
          <w:rFonts w:asciiTheme="majorBidi" w:hAnsiTheme="majorBidi" w:cstheme="majorBidi"/>
          <w:color w:val="000000" w:themeColor="text1"/>
          <w:sz w:val="24"/>
          <w:szCs w:val="24"/>
        </w:rPr>
        <w:t>.</w:t>
      </w:r>
    </w:p>
    <w:p w14:paraId="44DC8FAC" w14:textId="1B30A446" w:rsidR="000E099A" w:rsidRPr="00615171" w:rsidRDefault="007F5734"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Marmot, M.</w:t>
      </w:r>
      <w:r w:rsidR="00E6610A" w:rsidRPr="00615171">
        <w:rPr>
          <w:rFonts w:asciiTheme="majorBidi" w:hAnsiTheme="majorBidi" w:cstheme="majorBidi"/>
          <w:color w:val="000000" w:themeColor="text1"/>
          <w:sz w:val="24"/>
          <w:szCs w:val="24"/>
        </w:rPr>
        <w:t>,</w:t>
      </w:r>
      <w:r w:rsidR="000E099A" w:rsidRPr="00615171">
        <w:rPr>
          <w:rFonts w:asciiTheme="majorBidi" w:hAnsiTheme="majorBidi" w:cstheme="majorBidi"/>
          <w:color w:val="000000" w:themeColor="text1"/>
          <w:sz w:val="24"/>
          <w:szCs w:val="24"/>
        </w:rPr>
        <w:t xml:space="preserve"> Smith,</w:t>
      </w:r>
      <w:r w:rsidR="00737A63" w:rsidRPr="00615171">
        <w:rPr>
          <w:rFonts w:asciiTheme="majorBidi" w:hAnsiTheme="majorBidi" w:cstheme="majorBidi"/>
          <w:color w:val="000000" w:themeColor="text1"/>
          <w:sz w:val="24"/>
          <w:szCs w:val="24"/>
        </w:rPr>
        <w:t xml:space="preserve"> G.D.</w:t>
      </w:r>
      <w:r w:rsidR="00E6610A" w:rsidRPr="00615171">
        <w:rPr>
          <w:rFonts w:asciiTheme="majorBidi" w:hAnsiTheme="majorBidi" w:cstheme="majorBidi"/>
          <w:color w:val="000000" w:themeColor="text1"/>
          <w:sz w:val="24"/>
          <w:szCs w:val="24"/>
        </w:rPr>
        <w:t xml:space="preserve"> </w:t>
      </w:r>
      <w:r w:rsidR="00737A63" w:rsidRPr="00615171">
        <w:rPr>
          <w:rFonts w:asciiTheme="majorBidi" w:hAnsiTheme="majorBidi" w:cstheme="majorBidi"/>
          <w:color w:val="000000" w:themeColor="text1"/>
          <w:sz w:val="24"/>
          <w:szCs w:val="24"/>
        </w:rPr>
        <w:t xml:space="preserve">and </w:t>
      </w:r>
      <w:r w:rsidR="000E099A" w:rsidRPr="00615171">
        <w:rPr>
          <w:rFonts w:asciiTheme="majorBidi" w:hAnsiTheme="majorBidi" w:cstheme="majorBidi"/>
          <w:color w:val="000000" w:themeColor="text1"/>
          <w:sz w:val="24"/>
          <w:szCs w:val="24"/>
        </w:rPr>
        <w:t>Stansfield,</w:t>
      </w:r>
      <w:r w:rsidR="00E6610A" w:rsidRPr="00615171">
        <w:rPr>
          <w:rFonts w:asciiTheme="majorBidi" w:hAnsiTheme="majorBidi" w:cstheme="majorBidi"/>
          <w:color w:val="000000" w:themeColor="text1"/>
          <w:sz w:val="24"/>
          <w:szCs w:val="24"/>
        </w:rPr>
        <w:t xml:space="preserve"> S. </w:t>
      </w:r>
      <w:r w:rsidR="00B417E1" w:rsidRPr="00615171">
        <w:rPr>
          <w:rFonts w:asciiTheme="majorBidi" w:hAnsiTheme="majorBidi" w:cstheme="majorBidi"/>
          <w:color w:val="000000" w:themeColor="text1"/>
          <w:sz w:val="24"/>
          <w:szCs w:val="24"/>
        </w:rPr>
        <w:t>(1991)</w:t>
      </w:r>
      <w:r w:rsidR="00E02996" w:rsidRPr="00615171">
        <w:rPr>
          <w:rFonts w:asciiTheme="majorBidi" w:hAnsiTheme="majorBidi" w:cstheme="majorBidi"/>
          <w:color w:val="000000" w:themeColor="text1"/>
          <w:sz w:val="24"/>
          <w:szCs w:val="24"/>
        </w:rPr>
        <w:t>.</w:t>
      </w:r>
      <w:r w:rsidR="00B417E1" w:rsidRPr="00615171">
        <w:rPr>
          <w:rFonts w:asciiTheme="majorBidi" w:hAnsiTheme="majorBidi" w:cstheme="majorBidi"/>
          <w:color w:val="000000" w:themeColor="text1"/>
          <w:sz w:val="24"/>
          <w:szCs w:val="24"/>
        </w:rPr>
        <w:t xml:space="preserve"> </w:t>
      </w:r>
      <w:r w:rsidR="000E099A" w:rsidRPr="00615171">
        <w:rPr>
          <w:rFonts w:asciiTheme="majorBidi" w:hAnsiTheme="majorBidi" w:cstheme="majorBidi"/>
          <w:color w:val="000000" w:themeColor="text1"/>
          <w:sz w:val="24"/>
          <w:szCs w:val="24"/>
        </w:rPr>
        <w:t>‘Health inequalities among British civil</w:t>
      </w:r>
      <w:r w:rsidR="008B773C" w:rsidRPr="00615171">
        <w:rPr>
          <w:rFonts w:asciiTheme="majorBidi" w:hAnsiTheme="majorBidi" w:cstheme="majorBidi"/>
          <w:color w:val="000000" w:themeColor="text1"/>
          <w:sz w:val="24"/>
          <w:szCs w:val="24"/>
        </w:rPr>
        <w:t xml:space="preserve"> </w:t>
      </w:r>
      <w:r w:rsidR="000E099A" w:rsidRPr="00615171">
        <w:rPr>
          <w:rFonts w:asciiTheme="majorBidi" w:hAnsiTheme="majorBidi" w:cstheme="majorBidi"/>
          <w:color w:val="000000" w:themeColor="text1"/>
          <w:sz w:val="24"/>
          <w:szCs w:val="24"/>
        </w:rPr>
        <w:t>servants: The Whitehall II study’</w:t>
      </w:r>
      <w:r w:rsidR="00B417E1" w:rsidRPr="00615171">
        <w:rPr>
          <w:rFonts w:asciiTheme="majorBidi" w:hAnsiTheme="majorBidi" w:cstheme="majorBidi"/>
          <w:color w:val="000000" w:themeColor="text1"/>
          <w:sz w:val="24"/>
          <w:szCs w:val="24"/>
        </w:rPr>
        <w:t xml:space="preserve">, </w:t>
      </w:r>
      <w:r w:rsidR="00D32B21" w:rsidRPr="00615171">
        <w:rPr>
          <w:rFonts w:asciiTheme="majorBidi" w:hAnsiTheme="majorBidi" w:cstheme="majorBidi"/>
          <w:i/>
          <w:color w:val="000000" w:themeColor="text1"/>
          <w:sz w:val="24"/>
          <w:szCs w:val="24"/>
        </w:rPr>
        <w:t>The</w:t>
      </w:r>
      <w:r w:rsidR="00D32B21" w:rsidRPr="00615171">
        <w:rPr>
          <w:rFonts w:asciiTheme="majorBidi" w:hAnsiTheme="majorBidi" w:cstheme="majorBidi"/>
          <w:color w:val="000000" w:themeColor="text1"/>
          <w:sz w:val="24"/>
          <w:szCs w:val="24"/>
        </w:rPr>
        <w:t xml:space="preserve"> </w:t>
      </w:r>
      <w:r w:rsidR="00420F16" w:rsidRPr="00615171">
        <w:rPr>
          <w:rFonts w:asciiTheme="majorBidi" w:hAnsiTheme="majorBidi" w:cstheme="majorBidi"/>
          <w:i/>
          <w:iCs/>
          <w:color w:val="000000" w:themeColor="text1"/>
          <w:sz w:val="24"/>
          <w:szCs w:val="24"/>
        </w:rPr>
        <w:t>Lancet</w:t>
      </w:r>
      <w:r w:rsidR="00B417E1" w:rsidRPr="00615171">
        <w:rPr>
          <w:rFonts w:asciiTheme="majorBidi" w:hAnsiTheme="majorBidi" w:cstheme="majorBidi"/>
          <w:i/>
          <w:iCs/>
          <w:color w:val="000000" w:themeColor="text1"/>
          <w:sz w:val="24"/>
          <w:szCs w:val="24"/>
        </w:rPr>
        <w:t xml:space="preserve"> </w:t>
      </w:r>
      <w:r w:rsidR="00B417E1" w:rsidRPr="00615171">
        <w:rPr>
          <w:rFonts w:asciiTheme="majorBidi" w:hAnsiTheme="majorBidi" w:cstheme="majorBidi"/>
          <w:color w:val="000000" w:themeColor="text1"/>
          <w:sz w:val="24"/>
          <w:szCs w:val="24"/>
        </w:rPr>
        <w:t>337(</w:t>
      </w:r>
      <w:r w:rsidR="000E099A" w:rsidRPr="00615171">
        <w:rPr>
          <w:rFonts w:asciiTheme="majorBidi" w:hAnsiTheme="majorBidi" w:cstheme="majorBidi"/>
          <w:color w:val="000000" w:themeColor="text1"/>
          <w:sz w:val="24"/>
          <w:szCs w:val="24"/>
        </w:rPr>
        <w:t>8754</w:t>
      </w:r>
      <w:r w:rsidR="00B417E1" w:rsidRPr="00615171">
        <w:rPr>
          <w:rFonts w:asciiTheme="majorBidi" w:hAnsiTheme="majorBidi" w:cstheme="majorBidi"/>
          <w:color w:val="000000" w:themeColor="text1"/>
          <w:sz w:val="24"/>
          <w:szCs w:val="24"/>
        </w:rPr>
        <w:t>)</w:t>
      </w:r>
      <w:r w:rsidR="00420F16" w:rsidRPr="00615171">
        <w:rPr>
          <w:rFonts w:asciiTheme="majorBidi" w:hAnsiTheme="majorBidi" w:cstheme="majorBidi"/>
          <w:color w:val="000000" w:themeColor="text1"/>
          <w:sz w:val="24"/>
          <w:szCs w:val="24"/>
        </w:rPr>
        <w:t>:</w:t>
      </w:r>
      <w:r w:rsidR="000E099A" w:rsidRPr="00615171">
        <w:rPr>
          <w:rFonts w:asciiTheme="majorBidi" w:hAnsiTheme="majorBidi" w:cstheme="majorBidi"/>
          <w:color w:val="000000" w:themeColor="text1"/>
          <w:sz w:val="24"/>
          <w:szCs w:val="24"/>
        </w:rPr>
        <w:t>1387-1393.</w:t>
      </w:r>
    </w:p>
    <w:p w14:paraId="5C809C2A" w14:textId="77777777" w:rsidR="004A4DF0" w:rsidRPr="00615171" w:rsidRDefault="00487490"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Marmot</w:t>
      </w:r>
      <w:r w:rsidR="007F5734"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M</w:t>
      </w:r>
      <w:r w:rsidR="00376421" w:rsidRPr="00615171">
        <w:rPr>
          <w:rFonts w:asciiTheme="majorBidi" w:hAnsiTheme="majorBidi" w:cstheme="majorBidi"/>
          <w:color w:val="000000" w:themeColor="text1"/>
          <w:sz w:val="24"/>
          <w:szCs w:val="24"/>
        </w:rPr>
        <w:t>.</w:t>
      </w:r>
      <w:r w:rsidR="00B417E1"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(2004) ‘Social Causes of Social Inequalities in Health’ in Anand</w:t>
      </w:r>
      <w:r w:rsidR="00B417E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S</w:t>
      </w:r>
      <w:r w:rsidR="00B417E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Fabienne</w:t>
      </w:r>
      <w:r w:rsidR="00B417E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P</w:t>
      </w:r>
      <w:r w:rsidR="00B417E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and Sen</w:t>
      </w:r>
      <w:r w:rsidR="00B417E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A</w:t>
      </w:r>
      <w:r w:rsidR="00B417E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(Eds.)</w:t>
      </w:r>
      <w:r w:rsidR="00B417E1" w:rsidRPr="00615171">
        <w:rPr>
          <w:rFonts w:asciiTheme="majorBidi" w:hAnsiTheme="majorBidi" w:cstheme="majorBidi"/>
          <w:color w:val="000000" w:themeColor="text1"/>
          <w:sz w:val="24"/>
          <w:szCs w:val="24"/>
        </w:rPr>
        <w:t xml:space="preserve">, </w:t>
      </w:r>
      <w:r w:rsidRPr="00615171">
        <w:rPr>
          <w:rFonts w:asciiTheme="majorBidi" w:hAnsiTheme="majorBidi" w:cstheme="majorBidi"/>
          <w:i/>
          <w:color w:val="000000" w:themeColor="text1"/>
          <w:sz w:val="24"/>
          <w:szCs w:val="24"/>
        </w:rPr>
        <w:t>Public health, ethics, and equity</w:t>
      </w:r>
      <w:r w:rsidR="00B417E1" w:rsidRPr="00615171">
        <w:rPr>
          <w:rFonts w:asciiTheme="majorBidi" w:hAnsiTheme="majorBidi" w:cstheme="majorBidi"/>
          <w:i/>
          <w:color w:val="000000" w:themeColor="text1"/>
          <w:sz w:val="24"/>
          <w:szCs w:val="24"/>
        </w:rPr>
        <w:t>,</w:t>
      </w:r>
      <w:r w:rsidRPr="00615171">
        <w:rPr>
          <w:rFonts w:asciiTheme="majorBidi" w:hAnsiTheme="majorBidi" w:cstheme="majorBidi"/>
          <w:color w:val="000000" w:themeColor="text1"/>
          <w:sz w:val="24"/>
          <w:szCs w:val="24"/>
        </w:rPr>
        <w:t xml:space="preserve"> Oxford: Oxford University Press</w:t>
      </w:r>
      <w:r w:rsidR="00893497"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37-</w:t>
      </w:r>
      <w:r w:rsidR="00376421" w:rsidRPr="00615171">
        <w:rPr>
          <w:rFonts w:asciiTheme="majorBidi" w:hAnsiTheme="majorBidi" w:cstheme="majorBidi"/>
          <w:color w:val="000000" w:themeColor="text1"/>
          <w:sz w:val="24"/>
          <w:szCs w:val="24"/>
        </w:rPr>
        <w:t>4</w:t>
      </w:r>
      <w:r w:rsidRPr="00615171">
        <w:rPr>
          <w:rFonts w:asciiTheme="majorBidi" w:hAnsiTheme="majorBidi" w:cstheme="majorBidi"/>
          <w:color w:val="000000" w:themeColor="text1"/>
          <w:sz w:val="24"/>
          <w:szCs w:val="24"/>
        </w:rPr>
        <w:t>6.</w:t>
      </w:r>
    </w:p>
    <w:p w14:paraId="4CF3D990" w14:textId="77777777" w:rsidR="00E357CE" w:rsidRPr="00615171" w:rsidRDefault="00E357CE"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Marmort</w:t>
      </w:r>
      <w:proofErr w:type="spellEnd"/>
      <w:r w:rsidRPr="00615171">
        <w:rPr>
          <w:rFonts w:asciiTheme="majorBidi" w:hAnsiTheme="majorBidi" w:cstheme="majorBidi"/>
          <w:color w:val="000000" w:themeColor="text1"/>
          <w:sz w:val="24"/>
          <w:szCs w:val="24"/>
        </w:rPr>
        <w:t xml:space="preserve">, M. (2005). Social Determinants of Health Inequalities. </w:t>
      </w:r>
      <w:r w:rsidRPr="00615171">
        <w:rPr>
          <w:rFonts w:asciiTheme="majorBidi" w:hAnsiTheme="majorBidi" w:cstheme="majorBidi"/>
          <w:i/>
          <w:iCs/>
          <w:color w:val="000000" w:themeColor="text1"/>
          <w:sz w:val="24"/>
          <w:szCs w:val="24"/>
        </w:rPr>
        <w:t>The Lancet</w:t>
      </w:r>
      <w:r w:rsidRPr="00615171">
        <w:rPr>
          <w:rFonts w:asciiTheme="majorBidi" w:hAnsiTheme="majorBidi" w:cstheme="majorBidi"/>
          <w:color w:val="000000" w:themeColor="text1"/>
          <w:sz w:val="24"/>
          <w:szCs w:val="24"/>
        </w:rPr>
        <w:t xml:space="preserve"> 365(9464):1099-1104. </w:t>
      </w:r>
    </w:p>
    <w:p w14:paraId="6E5EEC25" w14:textId="27696D81" w:rsidR="00841F05" w:rsidRPr="00615171" w:rsidRDefault="00D85280"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The Marmot Review</w:t>
      </w:r>
      <w:r w:rsidR="004B2E77"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(2010)</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i/>
          <w:iCs/>
          <w:color w:val="000000" w:themeColor="text1"/>
          <w:sz w:val="24"/>
          <w:szCs w:val="24"/>
        </w:rPr>
        <w:t xml:space="preserve">Fair Society, Healthy Lives, </w:t>
      </w:r>
      <w:r w:rsidR="004B2E77" w:rsidRPr="00615171">
        <w:rPr>
          <w:rFonts w:asciiTheme="majorBidi" w:hAnsiTheme="majorBidi" w:cstheme="majorBidi"/>
          <w:color w:val="000000" w:themeColor="text1"/>
          <w:sz w:val="24"/>
          <w:szCs w:val="24"/>
        </w:rPr>
        <w:t>London.</w:t>
      </w:r>
      <w:r w:rsidRPr="00615171">
        <w:rPr>
          <w:rFonts w:asciiTheme="majorBidi" w:hAnsiTheme="majorBidi" w:cstheme="majorBidi"/>
          <w:color w:val="000000" w:themeColor="text1"/>
          <w:sz w:val="24"/>
          <w:szCs w:val="24"/>
        </w:rPr>
        <w:t xml:space="preserve"> The Marmot Review. Available at: </w:t>
      </w:r>
      <w:hyperlink r:id="rId19" w:history="1">
        <w:r w:rsidR="00A752D0" w:rsidRPr="00615171">
          <w:rPr>
            <w:rStyle w:val="Hyperlink"/>
            <w:rFonts w:asciiTheme="majorBidi" w:hAnsiTheme="majorBidi" w:cstheme="majorBidi"/>
            <w:color w:val="000000" w:themeColor="text1"/>
            <w:sz w:val="24"/>
            <w:szCs w:val="24"/>
          </w:rPr>
          <w:t>http://www.marmotreview.org/</w:t>
        </w:r>
      </w:hyperlink>
      <w:r w:rsidR="00B13ECC" w:rsidRPr="00615171">
        <w:rPr>
          <w:rStyle w:val="Hyperlink"/>
          <w:rFonts w:asciiTheme="majorBidi" w:hAnsiTheme="majorBidi" w:cstheme="majorBidi"/>
          <w:color w:val="000000" w:themeColor="text1"/>
          <w:sz w:val="24"/>
          <w:szCs w:val="24"/>
        </w:rPr>
        <w:t xml:space="preserve"> </w:t>
      </w:r>
      <w:r w:rsidR="00B13ECC" w:rsidRPr="00615171">
        <w:rPr>
          <w:rStyle w:val="Hyperlink"/>
          <w:rFonts w:asciiTheme="majorBidi" w:hAnsiTheme="majorBidi" w:cstheme="majorBidi"/>
          <w:color w:val="000000" w:themeColor="text1"/>
          <w:sz w:val="24"/>
          <w:szCs w:val="24"/>
          <w:u w:val="none"/>
        </w:rPr>
        <w:t>[Accessed date:10/05/2014]</w:t>
      </w:r>
    </w:p>
    <w:p w14:paraId="4A964000" w14:textId="77777777" w:rsidR="00A752D0" w:rsidRPr="00615171" w:rsidRDefault="00A752D0"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Mackenbach</w:t>
      </w:r>
      <w:proofErr w:type="spellEnd"/>
      <w:r w:rsidRPr="00615171">
        <w:rPr>
          <w:rFonts w:asciiTheme="majorBidi" w:hAnsiTheme="majorBidi" w:cstheme="majorBidi"/>
          <w:color w:val="000000" w:themeColor="text1"/>
          <w:sz w:val="24"/>
          <w:szCs w:val="24"/>
        </w:rPr>
        <w:t xml:space="preserve">, J.P., </w:t>
      </w:r>
      <w:proofErr w:type="spellStart"/>
      <w:r w:rsidRPr="00615171">
        <w:rPr>
          <w:rFonts w:asciiTheme="majorBidi" w:hAnsiTheme="majorBidi" w:cstheme="majorBidi"/>
          <w:color w:val="000000" w:themeColor="text1"/>
          <w:sz w:val="24"/>
          <w:szCs w:val="24"/>
        </w:rPr>
        <w:t>Stirbu</w:t>
      </w:r>
      <w:proofErr w:type="spellEnd"/>
      <w:r w:rsidRPr="00615171">
        <w:rPr>
          <w:rFonts w:asciiTheme="majorBidi" w:hAnsiTheme="majorBidi" w:cstheme="majorBidi"/>
          <w:color w:val="000000" w:themeColor="text1"/>
          <w:sz w:val="24"/>
          <w:szCs w:val="24"/>
        </w:rPr>
        <w:t xml:space="preserve">, I., </w:t>
      </w:r>
      <w:proofErr w:type="spellStart"/>
      <w:r w:rsidRPr="00615171">
        <w:rPr>
          <w:rFonts w:asciiTheme="majorBidi" w:hAnsiTheme="majorBidi" w:cstheme="majorBidi"/>
          <w:color w:val="000000" w:themeColor="text1"/>
          <w:sz w:val="24"/>
          <w:szCs w:val="24"/>
        </w:rPr>
        <w:t>Roskam</w:t>
      </w:r>
      <w:proofErr w:type="spellEnd"/>
      <w:r w:rsidRPr="00615171">
        <w:rPr>
          <w:rFonts w:asciiTheme="majorBidi" w:hAnsiTheme="majorBidi" w:cstheme="majorBidi"/>
          <w:color w:val="000000" w:themeColor="text1"/>
          <w:sz w:val="24"/>
          <w:szCs w:val="24"/>
        </w:rPr>
        <w:t xml:space="preserve">, A., </w:t>
      </w:r>
      <w:proofErr w:type="spellStart"/>
      <w:r w:rsidRPr="00615171">
        <w:rPr>
          <w:rFonts w:asciiTheme="majorBidi" w:hAnsiTheme="majorBidi" w:cstheme="majorBidi"/>
          <w:color w:val="000000" w:themeColor="text1"/>
          <w:sz w:val="24"/>
          <w:szCs w:val="24"/>
        </w:rPr>
        <w:t>Schaap</w:t>
      </w:r>
      <w:proofErr w:type="spellEnd"/>
      <w:r w:rsidRPr="00615171">
        <w:rPr>
          <w:rFonts w:asciiTheme="majorBidi" w:hAnsiTheme="majorBidi" w:cstheme="majorBidi"/>
          <w:color w:val="000000" w:themeColor="text1"/>
          <w:sz w:val="24"/>
          <w:szCs w:val="24"/>
        </w:rPr>
        <w:t xml:space="preserve">, M.M., </w:t>
      </w:r>
      <w:proofErr w:type="spellStart"/>
      <w:r w:rsidR="00442B34" w:rsidRPr="00615171">
        <w:rPr>
          <w:rFonts w:asciiTheme="majorBidi" w:hAnsiTheme="majorBidi" w:cstheme="majorBidi"/>
          <w:color w:val="000000" w:themeColor="text1"/>
          <w:sz w:val="24"/>
          <w:szCs w:val="24"/>
        </w:rPr>
        <w:t>Menvielle</w:t>
      </w:r>
      <w:proofErr w:type="spellEnd"/>
      <w:r w:rsidR="00442B34" w:rsidRPr="00615171">
        <w:rPr>
          <w:rFonts w:asciiTheme="majorBidi" w:hAnsiTheme="majorBidi" w:cstheme="majorBidi"/>
          <w:color w:val="000000" w:themeColor="text1"/>
          <w:sz w:val="24"/>
          <w:szCs w:val="24"/>
        </w:rPr>
        <w:t xml:space="preserve">, G., </w:t>
      </w:r>
      <w:proofErr w:type="spellStart"/>
      <w:r w:rsidR="00442B34" w:rsidRPr="00615171">
        <w:rPr>
          <w:rFonts w:asciiTheme="majorBidi" w:hAnsiTheme="majorBidi" w:cstheme="majorBidi"/>
          <w:color w:val="000000" w:themeColor="text1"/>
          <w:sz w:val="24"/>
          <w:szCs w:val="24"/>
        </w:rPr>
        <w:t>Leinsalu</w:t>
      </w:r>
      <w:proofErr w:type="spellEnd"/>
      <w:r w:rsidR="00442B34" w:rsidRPr="00615171">
        <w:rPr>
          <w:rFonts w:asciiTheme="majorBidi" w:hAnsiTheme="majorBidi" w:cstheme="majorBidi"/>
          <w:color w:val="000000" w:themeColor="text1"/>
          <w:sz w:val="24"/>
          <w:szCs w:val="24"/>
        </w:rPr>
        <w:t xml:space="preserve">, M., and Kunst, A.E. (2008). </w:t>
      </w:r>
      <w:r w:rsidR="002951ED" w:rsidRPr="00615171">
        <w:rPr>
          <w:rFonts w:asciiTheme="majorBidi" w:hAnsiTheme="majorBidi" w:cstheme="majorBidi"/>
          <w:color w:val="000000" w:themeColor="text1"/>
          <w:sz w:val="24"/>
          <w:szCs w:val="24"/>
        </w:rPr>
        <w:t xml:space="preserve">“Socioeconomic Inequalities in Health in 22 European Countries”, </w:t>
      </w:r>
      <w:r w:rsidR="00442B34" w:rsidRPr="00615171">
        <w:rPr>
          <w:rFonts w:asciiTheme="majorBidi" w:hAnsiTheme="majorBidi" w:cstheme="majorBidi"/>
          <w:i/>
          <w:iCs/>
          <w:color w:val="000000" w:themeColor="text1"/>
          <w:sz w:val="24"/>
          <w:szCs w:val="24"/>
        </w:rPr>
        <w:t xml:space="preserve">The New England Journal of Medicine </w:t>
      </w:r>
      <w:r w:rsidR="00442B34" w:rsidRPr="00615171">
        <w:rPr>
          <w:rFonts w:asciiTheme="majorBidi" w:hAnsiTheme="majorBidi" w:cstheme="majorBidi"/>
          <w:color w:val="000000" w:themeColor="text1"/>
          <w:sz w:val="24"/>
          <w:szCs w:val="24"/>
        </w:rPr>
        <w:t>358(23):2468-81.</w:t>
      </w:r>
    </w:p>
    <w:p w14:paraId="35E0A51E" w14:textId="34F24038" w:rsidR="00895348" w:rsidRPr="00615171" w:rsidRDefault="00895348"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Maynard, M., </w:t>
      </w:r>
      <w:proofErr w:type="spellStart"/>
      <w:r w:rsidRPr="00615171">
        <w:rPr>
          <w:rFonts w:asciiTheme="majorBidi" w:hAnsiTheme="majorBidi" w:cstheme="majorBidi"/>
          <w:color w:val="000000" w:themeColor="text1"/>
          <w:sz w:val="24"/>
          <w:szCs w:val="24"/>
        </w:rPr>
        <w:t>Afshar</w:t>
      </w:r>
      <w:proofErr w:type="spellEnd"/>
      <w:r w:rsidRPr="00615171">
        <w:rPr>
          <w:rFonts w:asciiTheme="majorBidi" w:hAnsiTheme="majorBidi" w:cstheme="majorBidi"/>
          <w:color w:val="000000" w:themeColor="text1"/>
          <w:sz w:val="24"/>
          <w:szCs w:val="24"/>
        </w:rPr>
        <w:t xml:space="preserve">, H., Franks, M., Wray, S. (2008) </w:t>
      </w:r>
      <w:r w:rsidRPr="00615171">
        <w:rPr>
          <w:rFonts w:asciiTheme="majorBidi" w:hAnsiTheme="majorBidi" w:cstheme="majorBidi"/>
          <w:i/>
          <w:color w:val="000000" w:themeColor="text1"/>
          <w:sz w:val="24"/>
          <w:szCs w:val="24"/>
        </w:rPr>
        <w:t>Women in later life: exploring race and ethnicity</w:t>
      </w:r>
      <w:r w:rsidRPr="00615171">
        <w:rPr>
          <w:rFonts w:asciiTheme="majorBidi" w:hAnsiTheme="majorBidi" w:cstheme="majorBidi"/>
          <w:color w:val="000000" w:themeColor="text1"/>
          <w:sz w:val="24"/>
          <w:szCs w:val="24"/>
        </w:rPr>
        <w:t xml:space="preserve">. London, McGraw-Hill. </w:t>
      </w:r>
    </w:p>
    <w:p w14:paraId="2CFA5AFE" w14:textId="7BDB69E9" w:rsidR="00CB3509" w:rsidRPr="00615171" w:rsidRDefault="00CB3509"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McFadden, E., </w:t>
      </w:r>
      <w:proofErr w:type="spellStart"/>
      <w:r w:rsidRPr="00615171">
        <w:rPr>
          <w:rFonts w:asciiTheme="majorBidi" w:hAnsiTheme="majorBidi" w:cstheme="majorBidi"/>
          <w:color w:val="000000" w:themeColor="text1"/>
          <w:sz w:val="24"/>
          <w:szCs w:val="24"/>
        </w:rPr>
        <w:t>Luben</w:t>
      </w:r>
      <w:proofErr w:type="spellEnd"/>
      <w:r w:rsidRPr="00615171">
        <w:rPr>
          <w:rFonts w:asciiTheme="majorBidi" w:hAnsiTheme="majorBidi" w:cstheme="majorBidi"/>
          <w:color w:val="000000" w:themeColor="text1"/>
          <w:sz w:val="24"/>
          <w:szCs w:val="24"/>
        </w:rPr>
        <w:t xml:space="preserve">, R., Wareham, N., Bingham, S., </w:t>
      </w:r>
      <w:proofErr w:type="spellStart"/>
      <w:r w:rsidRPr="00615171">
        <w:rPr>
          <w:rFonts w:asciiTheme="majorBidi" w:hAnsiTheme="majorBidi" w:cstheme="majorBidi"/>
          <w:color w:val="000000" w:themeColor="text1"/>
          <w:sz w:val="24"/>
          <w:szCs w:val="24"/>
        </w:rPr>
        <w:t>Khaw</w:t>
      </w:r>
      <w:proofErr w:type="spellEnd"/>
      <w:r w:rsidRPr="00615171">
        <w:rPr>
          <w:rFonts w:asciiTheme="majorBidi" w:hAnsiTheme="majorBidi" w:cstheme="majorBidi"/>
          <w:color w:val="000000" w:themeColor="text1"/>
          <w:sz w:val="24"/>
          <w:szCs w:val="24"/>
        </w:rPr>
        <w:t>, KT. (2009) Social class, risk factors, and stroke incidence in men</w:t>
      </w:r>
      <w:r w:rsidR="005A32A3">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 xml:space="preserve">and women: a prospective study in the European </w:t>
      </w:r>
      <w:r w:rsidR="005A32A3" w:rsidRPr="005A32A3">
        <w:rPr>
          <w:rFonts w:asciiTheme="majorBidi" w:hAnsiTheme="majorBidi" w:cstheme="majorBidi"/>
          <w:color w:val="000000" w:themeColor="text1"/>
          <w:sz w:val="24"/>
          <w:szCs w:val="24"/>
        </w:rPr>
        <w:t>pros</w:t>
      </w:r>
      <w:r w:rsidR="005A32A3">
        <w:rPr>
          <w:rFonts w:asciiTheme="majorBidi" w:hAnsiTheme="majorBidi" w:cstheme="majorBidi"/>
          <w:color w:val="000000" w:themeColor="text1"/>
          <w:sz w:val="24"/>
          <w:szCs w:val="24"/>
        </w:rPr>
        <w:t>pe</w:t>
      </w:r>
      <w:r w:rsidR="005A32A3" w:rsidRPr="005A32A3">
        <w:rPr>
          <w:rFonts w:asciiTheme="majorBidi" w:hAnsiTheme="majorBidi" w:cstheme="majorBidi"/>
          <w:color w:val="000000" w:themeColor="text1"/>
          <w:sz w:val="24"/>
          <w:szCs w:val="24"/>
        </w:rPr>
        <w:t>ctive</w:t>
      </w:r>
      <w:r w:rsidRPr="00615171">
        <w:rPr>
          <w:rFonts w:asciiTheme="majorBidi" w:hAnsiTheme="majorBidi" w:cstheme="majorBidi"/>
          <w:color w:val="000000" w:themeColor="text1"/>
          <w:sz w:val="24"/>
          <w:szCs w:val="24"/>
        </w:rPr>
        <w:t xml:space="preserve"> investigation into cancer in Norfolk cohort.  </w:t>
      </w:r>
      <w:r w:rsidRPr="00615171">
        <w:rPr>
          <w:rFonts w:asciiTheme="majorBidi" w:hAnsiTheme="majorBidi" w:cstheme="majorBidi"/>
          <w:i/>
          <w:color w:val="000000" w:themeColor="text1"/>
          <w:sz w:val="24"/>
          <w:szCs w:val="24"/>
        </w:rPr>
        <w:t>Stroke</w:t>
      </w:r>
      <w:r w:rsidRPr="00615171">
        <w:rPr>
          <w:rFonts w:asciiTheme="majorBidi" w:hAnsiTheme="majorBidi" w:cstheme="majorBidi"/>
          <w:color w:val="000000" w:themeColor="text1"/>
          <w:sz w:val="24"/>
          <w:szCs w:val="24"/>
        </w:rPr>
        <w:t xml:space="preserve"> 40</w:t>
      </w:r>
      <w:r w:rsidR="005A32A3">
        <w:rPr>
          <w:rFonts w:asciiTheme="majorBidi" w:hAnsiTheme="majorBidi" w:cstheme="majorBidi"/>
          <w:color w:val="000000" w:themeColor="text1"/>
          <w:sz w:val="24"/>
          <w:szCs w:val="24"/>
        </w:rPr>
        <w:t>(4)</w:t>
      </w:r>
      <w:r w:rsidRPr="00615171">
        <w:rPr>
          <w:rFonts w:asciiTheme="majorBidi" w:hAnsiTheme="majorBidi" w:cstheme="majorBidi"/>
          <w:color w:val="000000" w:themeColor="text1"/>
          <w:sz w:val="24"/>
          <w:szCs w:val="24"/>
        </w:rPr>
        <w:t>: 1070-1077</w:t>
      </w:r>
    </w:p>
    <w:p w14:paraId="012223E2" w14:textId="015CF154" w:rsidR="00A752D0" w:rsidRPr="00615171" w:rsidRDefault="000F0202"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McMunn</w:t>
      </w:r>
      <w:proofErr w:type="spellEnd"/>
      <w:r w:rsidRPr="00615171">
        <w:rPr>
          <w:rFonts w:asciiTheme="majorBidi" w:hAnsiTheme="majorBidi" w:cstheme="majorBidi"/>
          <w:color w:val="000000" w:themeColor="text1"/>
          <w:sz w:val="24"/>
          <w:szCs w:val="24"/>
        </w:rPr>
        <w:t xml:space="preserve">, A., </w:t>
      </w:r>
      <w:proofErr w:type="spellStart"/>
      <w:r w:rsidRPr="00615171">
        <w:rPr>
          <w:rFonts w:asciiTheme="majorBidi" w:hAnsiTheme="majorBidi" w:cstheme="majorBidi"/>
          <w:color w:val="000000" w:themeColor="text1"/>
          <w:sz w:val="24"/>
          <w:szCs w:val="24"/>
        </w:rPr>
        <w:t>Nazroo</w:t>
      </w:r>
      <w:proofErr w:type="spellEnd"/>
      <w:r w:rsidRPr="00615171">
        <w:rPr>
          <w:rFonts w:asciiTheme="majorBidi" w:hAnsiTheme="majorBidi" w:cstheme="majorBidi"/>
          <w:color w:val="000000" w:themeColor="text1"/>
          <w:sz w:val="24"/>
          <w:szCs w:val="24"/>
        </w:rPr>
        <w:t>, J. and Breeze, E. (2009)</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‘Inequalities at older ages: a longitudinal investigation of onset of illness and survival effects in England’, </w:t>
      </w:r>
      <w:r w:rsidRPr="00615171">
        <w:rPr>
          <w:rFonts w:asciiTheme="majorBidi" w:hAnsiTheme="majorBidi" w:cstheme="majorBidi"/>
          <w:i/>
          <w:iCs/>
          <w:color w:val="000000" w:themeColor="text1"/>
          <w:sz w:val="24"/>
          <w:szCs w:val="24"/>
        </w:rPr>
        <w:t>Age</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i/>
          <w:iCs/>
          <w:color w:val="000000" w:themeColor="text1"/>
          <w:sz w:val="24"/>
          <w:szCs w:val="24"/>
        </w:rPr>
        <w:t xml:space="preserve">and Ageing </w:t>
      </w:r>
      <w:r w:rsidR="00420F16" w:rsidRPr="00615171">
        <w:rPr>
          <w:rFonts w:asciiTheme="majorBidi" w:hAnsiTheme="majorBidi" w:cstheme="majorBidi"/>
          <w:color w:val="000000" w:themeColor="text1"/>
          <w:sz w:val="24"/>
          <w:szCs w:val="24"/>
        </w:rPr>
        <w:t>38 (2):</w:t>
      </w:r>
      <w:r w:rsidRPr="00615171">
        <w:rPr>
          <w:rFonts w:asciiTheme="majorBidi" w:hAnsiTheme="majorBidi" w:cstheme="majorBidi"/>
          <w:color w:val="000000" w:themeColor="text1"/>
          <w:sz w:val="24"/>
          <w:szCs w:val="24"/>
        </w:rPr>
        <w:t xml:space="preserve">181-187. </w:t>
      </w:r>
    </w:p>
    <w:p w14:paraId="15C74D73" w14:textId="65A2DB43" w:rsidR="00F00DD5" w:rsidRPr="00615171" w:rsidRDefault="00F00DD5"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Mosk</w:t>
      </w:r>
      <w:proofErr w:type="spellEnd"/>
      <w:r w:rsidRPr="00615171">
        <w:rPr>
          <w:rFonts w:asciiTheme="majorBidi" w:hAnsiTheme="majorBidi" w:cstheme="majorBidi"/>
          <w:color w:val="000000" w:themeColor="text1"/>
          <w:sz w:val="24"/>
          <w:szCs w:val="24"/>
        </w:rPr>
        <w:t>, C. and S. R. Johansson. (1986)</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‘Income and mortality: Evidence from Modern Japan’, </w:t>
      </w:r>
      <w:r w:rsidRPr="00615171">
        <w:rPr>
          <w:rFonts w:asciiTheme="majorBidi" w:hAnsiTheme="majorBidi" w:cstheme="majorBidi"/>
          <w:i/>
          <w:iCs/>
          <w:color w:val="000000" w:themeColor="text1"/>
          <w:sz w:val="24"/>
          <w:szCs w:val="24"/>
        </w:rPr>
        <w:t xml:space="preserve">Population and Development Review </w:t>
      </w:r>
      <w:r w:rsidR="00420F16" w:rsidRPr="00615171">
        <w:rPr>
          <w:rFonts w:asciiTheme="majorBidi" w:hAnsiTheme="majorBidi" w:cstheme="majorBidi"/>
          <w:color w:val="000000" w:themeColor="text1"/>
          <w:sz w:val="24"/>
          <w:szCs w:val="24"/>
        </w:rPr>
        <w:t>12(3):</w:t>
      </w:r>
      <w:r w:rsidRPr="00615171">
        <w:rPr>
          <w:rFonts w:asciiTheme="majorBidi" w:hAnsiTheme="majorBidi" w:cstheme="majorBidi"/>
          <w:color w:val="000000" w:themeColor="text1"/>
          <w:sz w:val="24"/>
          <w:szCs w:val="24"/>
        </w:rPr>
        <w:t>415-440.</w:t>
      </w:r>
    </w:p>
    <w:p w14:paraId="438269CE" w14:textId="2B7B00B7" w:rsidR="00887910" w:rsidRPr="00615171" w:rsidRDefault="00887910"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MRC CFAS (2000) Socioeconomic status and the expectation of disability in old age: Estimates for England.  </w:t>
      </w:r>
      <w:r w:rsidRPr="00615171">
        <w:rPr>
          <w:rFonts w:asciiTheme="majorBidi" w:hAnsiTheme="majorBidi" w:cstheme="majorBidi"/>
          <w:i/>
          <w:color w:val="000000" w:themeColor="text1"/>
          <w:sz w:val="24"/>
          <w:szCs w:val="24"/>
        </w:rPr>
        <w:t>Journal of Epidemiology and Community Health</w:t>
      </w:r>
      <w:r w:rsidRPr="00615171">
        <w:rPr>
          <w:rFonts w:asciiTheme="majorBidi" w:hAnsiTheme="majorBidi" w:cstheme="majorBidi"/>
          <w:color w:val="000000" w:themeColor="text1"/>
          <w:sz w:val="24"/>
          <w:szCs w:val="24"/>
        </w:rPr>
        <w:t xml:space="preserve"> 54(4):286-292.</w:t>
      </w:r>
    </w:p>
    <w:p w14:paraId="19F2FF09" w14:textId="129AB5B9" w:rsidR="00EB1141" w:rsidRPr="00615171" w:rsidRDefault="001501D0"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Offi</w:t>
      </w:r>
      <w:r w:rsidR="00AE7C91" w:rsidRPr="00615171">
        <w:rPr>
          <w:rFonts w:asciiTheme="majorBidi" w:hAnsiTheme="majorBidi" w:cstheme="majorBidi"/>
          <w:color w:val="000000" w:themeColor="text1"/>
          <w:sz w:val="24"/>
          <w:szCs w:val="24"/>
        </w:rPr>
        <w:t>ce for National Statistics</w:t>
      </w:r>
      <w:r w:rsidR="004B2E77" w:rsidRPr="00615171">
        <w:rPr>
          <w:rFonts w:asciiTheme="majorBidi" w:hAnsiTheme="majorBidi" w:cstheme="majorBidi"/>
          <w:color w:val="000000" w:themeColor="text1"/>
          <w:sz w:val="24"/>
          <w:szCs w:val="24"/>
        </w:rPr>
        <w:t>.</w:t>
      </w:r>
      <w:r w:rsidR="00AE7C91" w:rsidRPr="00615171">
        <w:rPr>
          <w:rFonts w:asciiTheme="majorBidi" w:hAnsiTheme="majorBidi" w:cstheme="majorBidi"/>
          <w:color w:val="000000" w:themeColor="text1"/>
          <w:sz w:val="24"/>
          <w:szCs w:val="24"/>
        </w:rPr>
        <w:t xml:space="preserve"> (2011</w:t>
      </w:r>
      <w:r w:rsidRPr="00615171">
        <w:rPr>
          <w:rFonts w:asciiTheme="majorBidi" w:hAnsiTheme="majorBidi" w:cstheme="majorBidi"/>
          <w:color w:val="000000" w:themeColor="text1"/>
          <w:sz w:val="24"/>
          <w:szCs w:val="24"/>
        </w:rPr>
        <w:t>)</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737A63" w:rsidRPr="00615171">
        <w:rPr>
          <w:rFonts w:asciiTheme="majorBidi" w:hAnsiTheme="majorBidi" w:cstheme="majorBidi"/>
          <w:color w:val="000000" w:themeColor="text1"/>
          <w:sz w:val="24"/>
          <w:szCs w:val="24"/>
        </w:rPr>
        <w:t>‘</w:t>
      </w:r>
      <w:r w:rsidRPr="00615171">
        <w:rPr>
          <w:rFonts w:asciiTheme="majorBidi" w:hAnsiTheme="majorBidi" w:cstheme="majorBidi"/>
          <w:i/>
          <w:iCs/>
          <w:color w:val="000000" w:themeColor="text1"/>
          <w:sz w:val="24"/>
          <w:szCs w:val="24"/>
        </w:rPr>
        <w:t>Trends in life expectancy by social class</w:t>
      </w:r>
      <w:r w:rsidR="00737A63" w:rsidRPr="00615171">
        <w:rPr>
          <w:rFonts w:asciiTheme="majorBidi" w:hAnsiTheme="majorBidi" w:cstheme="majorBidi"/>
          <w:i/>
          <w:iCs/>
          <w:color w:val="000000" w:themeColor="text1"/>
          <w:sz w:val="24"/>
          <w:szCs w:val="24"/>
        </w:rPr>
        <w:t>’</w:t>
      </w:r>
      <w:r w:rsidRPr="00615171">
        <w:rPr>
          <w:rFonts w:asciiTheme="majorBidi" w:hAnsiTheme="majorBidi" w:cstheme="majorBidi"/>
          <w:i/>
          <w:iCs/>
          <w:color w:val="000000" w:themeColor="text1"/>
          <w:sz w:val="24"/>
          <w:szCs w:val="24"/>
        </w:rPr>
        <w:t xml:space="preserve">, </w:t>
      </w:r>
      <w:r w:rsidRPr="00615171">
        <w:rPr>
          <w:rFonts w:asciiTheme="majorBidi" w:hAnsiTheme="majorBidi" w:cstheme="majorBidi"/>
          <w:color w:val="000000" w:themeColor="text1"/>
          <w:sz w:val="24"/>
          <w:szCs w:val="24"/>
        </w:rPr>
        <w:t>National Statistics</w:t>
      </w:r>
      <w:r w:rsidR="00EB1141" w:rsidRPr="00615171">
        <w:rPr>
          <w:rFonts w:asciiTheme="majorBidi" w:hAnsiTheme="majorBidi" w:cstheme="majorBidi"/>
          <w:color w:val="000000" w:themeColor="text1"/>
          <w:sz w:val="24"/>
          <w:szCs w:val="24"/>
        </w:rPr>
        <w:t xml:space="preserve">, </w:t>
      </w:r>
      <w:r w:rsidR="00AE7C91" w:rsidRPr="00615171">
        <w:rPr>
          <w:rFonts w:asciiTheme="majorBidi" w:hAnsiTheme="majorBidi" w:cstheme="majorBidi"/>
          <w:color w:val="000000" w:themeColor="text1"/>
          <w:sz w:val="24"/>
          <w:szCs w:val="24"/>
        </w:rPr>
        <w:t xml:space="preserve">United Kingdom. </w:t>
      </w:r>
      <w:r w:rsidR="00EB1141" w:rsidRPr="00615171">
        <w:rPr>
          <w:rFonts w:asciiTheme="majorBidi" w:hAnsiTheme="majorBidi" w:cstheme="majorBidi"/>
          <w:color w:val="000000" w:themeColor="text1"/>
          <w:sz w:val="24"/>
          <w:szCs w:val="24"/>
        </w:rPr>
        <w:t>Available at:</w:t>
      </w:r>
    </w:p>
    <w:p w14:paraId="1A2EBB79" w14:textId="28BB4F11" w:rsidR="00AE7C91" w:rsidRPr="00615171" w:rsidRDefault="00AF01E1" w:rsidP="00810FE4">
      <w:pPr>
        <w:autoSpaceDE w:val="0"/>
        <w:autoSpaceDN w:val="0"/>
        <w:adjustRightInd w:val="0"/>
        <w:spacing w:after="0" w:line="240" w:lineRule="auto"/>
        <w:ind w:left="719"/>
        <w:jc w:val="both"/>
        <w:rPr>
          <w:rStyle w:val="Hyperlink"/>
          <w:rFonts w:asciiTheme="majorBidi" w:hAnsiTheme="majorBidi" w:cstheme="majorBidi"/>
          <w:color w:val="000000" w:themeColor="text1"/>
          <w:sz w:val="24"/>
          <w:szCs w:val="24"/>
          <w:u w:val="none"/>
        </w:rPr>
      </w:pPr>
      <w:hyperlink r:id="rId20" w:history="1">
        <w:r w:rsidR="00AE7C91" w:rsidRPr="00615171">
          <w:rPr>
            <w:rStyle w:val="Hyperlink"/>
            <w:rFonts w:asciiTheme="majorBidi" w:hAnsiTheme="majorBidi" w:cstheme="majorBidi"/>
            <w:color w:val="000000" w:themeColor="text1"/>
            <w:sz w:val="24"/>
            <w:szCs w:val="24"/>
          </w:rPr>
          <w:t>www.ons.gov.uk/ons/...life-expectancy.../trends-in-life-expectancy-by-th</w:t>
        </w:r>
      </w:hyperlink>
      <w:r w:rsidR="00AE7C91" w:rsidRPr="00615171">
        <w:rPr>
          <w:rStyle w:val="HTMLCite"/>
          <w:rFonts w:asciiTheme="majorBidi" w:hAnsiTheme="majorBidi" w:cstheme="majorBidi"/>
          <w:color w:val="000000" w:themeColor="text1"/>
          <w:sz w:val="24"/>
          <w:szCs w:val="24"/>
        </w:rPr>
        <w:t>.</w:t>
      </w:r>
      <w:r w:rsidR="00B13ECC" w:rsidRPr="00615171">
        <w:rPr>
          <w:rStyle w:val="Heading4Char"/>
          <w:rFonts w:asciiTheme="majorBidi" w:eastAsiaTheme="minorEastAsia" w:hAnsiTheme="majorBidi" w:cstheme="majorBidi"/>
          <w:color w:val="000000" w:themeColor="text1"/>
        </w:rPr>
        <w:t xml:space="preserve"> </w:t>
      </w:r>
      <w:r w:rsidR="00B13ECC" w:rsidRPr="00615171">
        <w:rPr>
          <w:rStyle w:val="Hyperlink"/>
          <w:rFonts w:asciiTheme="majorBidi" w:hAnsiTheme="majorBidi" w:cstheme="majorBidi"/>
          <w:color w:val="000000" w:themeColor="text1"/>
          <w:sz w:val="24"/>
          <w:szCs w:val="24"/>
          <w:u w:val="none"/>
        </w:rPr>
        <w:t>[Accessed date:</w:t>
      </w:r>
      <w:r w:rsidR="00E02996" w:rsidRPr="00615171">
        <w:rPr>
          <w:rStyle w:val="Hyperlink"/>
          <w:rFonts w:asciiTheme="majorBidi" w:hAnsiTheme="majorBidi" w:cstheme="majorBidi"/>
          <w:color w:val="000000" w:themeColor="text1"/>
          <w:sz w:val="24"/>
          <w:szCs w:val="24"/>
          <w:u w:val="none"/>
        </w:rPr>
        <w:t xml:space="preserve"> </w:t>
      </w:r>
      <w:r w:rsidR="00B13ECC" w:rsidRPr="00615171">
        <w:rPr>
          <w:rStyle w:val="Hyperlink"/>
          <w:rFonts w:asciiTheme="majorBidi" w:hAnsiTheme="majorBidi" w:cstheme="majorBidi"/>
          <w:color w:val="000000" w:themeColor="text1"/>
          <w:sz w:val="24"/>
          <w:szCs w:val="24"/>
          <w:u w:val="none"/>
        </w:rPr>
        <w:t>25/05/05/2014]</w:t>
      </w:r>
    </w:p>
    <w:p w14:paraId="73400999" w14:textId="473F088B" w:rsidR="00430E04" w:rsidRPr="00615171" w:rsidRDefault="00430E04" w:rsidP="00430E04">
      <w:pPr>
        <w:autoSpaceDE w:val="0"/>
        <w:autoSpaceDN w:val="0"/>
        <w:adjustRightInd w:val="0"/>
        <w:spacing w:after="0" w:line="240" w:lineRule="auto"/>
        <w:ind w:left="720" w:hanging="720"/>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Office for National Statistics.  (2009).  Health expectancy at birth.  Available at:</w:t>
      </w:r>
    </w:p>
    <w:p w14:paraId="6532D7E8" w14:textId="5851F8C6" w:rsidR="00430E04" w:rsidRPr="00615171" w:rsidRDefault="00430E04" w:rsidP="00430E04">
      <w:pPr>
        <w:autoSpaceDE w:val="0"/>
        <w:autoSpaceDN w:val="0"/>
        <w:adjustRightInd w:val="0"/>
        <w:spacing w:after="0" w:line="240" w:lineRule="auto"/>
        <w:ind w:left="720" w:hanging="720"/>
        <w:rPr>
          <w:rStyle w:val="Hyperlink"/>
          <w:rFonts w:asciiTheme="majorBidi" w:hAnsiTheme="majorBidi" w:cstheme="majorBidi"/>
          <w:color w:val="000000" w:themeColor="text1"/>
          <w:sz w:val="24"/>
          <w:szCs w:val="24"/>
          <w:u w:val="none"/>
        </w:rPr>
      </w:pPr>
      <w:r w:rsidRPr="00615171">
        <w:rPr>
          <w:rFonts w:asciiTheme="majorBidi" w:hAnsiTheme="majorBidi" w:cstheme="majorBidi"/>
          <w:color w:val="000000" w:themeColor="text1"/>
          <w:sz w:val="24"/>
          <w:szCs w:val="24"/>
        </w:rPr>
        <w:tab/>
      </w:r>
      <w:hyperlink r:id="rId21" w:history="1">
        <w:r w:rsidRPr="00615171">
          <w:rPr>
            <w:rStyle w:val="Hyperlink"/>
            <w:rFonts w:asciiTheme="majorBidi" w:hAnsiTheme="majorBidi" w:cstheme="majorBidi"/>
            <w:color w:val="000000" w:themeColor="text1"/>
            <w:sz w:val="24"/>
            <w:szCs w:val="24"/>
          </w:rPr>
          <w:t>http://www.statistics.gov.uk/StatBase/Product.asp?vlnk=12964</w:t>
        </w:r>
      </w:hyperlink>
      <w:r w:rsidRPr="00615171">
        <w:rPr>
          <w:rFonts w:asciiTheme="majorBidi" w:hAnsiTheme="majorBidi" w:cstheme="majorBidi"/>
          <w:color w:val="000000" w:themeColor="text1"/>
          <w:sz w:val="24"/>
          <w:szCs w:val="24"/>
        </w:rPr>
        <w:t xml:space="preserve"> Accessed date: 15/05/2014</w:t>
      </w:r>
    </w:p>
    <w:p w14:paraId="7D161FD5" w14:textId="2F254013" w:rsidR="008022E1" w:rsidRPr="00615171" w:rsidRDefault="008022E1"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Office for National Statistics (</w:t>
      </w:r>
      <w:r w:rsidR="00575B20" w:rsidRPr="00615171">
        <w:rPr>
          <w:rFonts w:asciiTheme="majorBidi" w:hAnsiTheme="majorBidi" w:cstheme="majorBidi"/>
          <w:color w:val="000000" w:themeColor="text1"/>
          <w:sz w:val="24"/>
          <w:szCs w:val="24"/>
        </w:rPr>
        <w:t>2014</w:t>
      </w:r>
      <w:r w:rsidRPr="00615171">
        <w:rPr>
          <w:rFonts w:asciiTheme="majorBidi" w:hAnsiTheme="majorBidi" w:cstheme="majorBidi"/>
          <w:color w:val="000000" w:themeColor="text1"/>
          <w:sz w:val="24"/>
          <w:szCs w:val="24"/>
        </w:rPr>
        <w:t xml:space="preserve">). Longitudinal Study </w:t>
      </w:r>
      <w:hyperlink r:id="rId22" w:history="1">
        <w:r w:rsidRPr="00615171">
          <w:rPr>
            <w:rStyle w:val="Hyperlink"/>
            <w:rFonts w:asciiTheme="majorBidi" w:hAnsiTheme="majorBidi" w:cstheme="majorBidi"/>
            <w:color w:val="000000" w:themeColor="text1"/>
            <w:sz w:val="24"/>
            <w:szCs w:val="24"/>
          </w:rPr>
          <w:t>http://www.ons.gov.uk/about/who-we-are/our-services/longitudinal-study</w:t>
        </w:r>
      </w:hyperlink>
      <w:r w:rsidRPr="00615171">
        <w:rPr>
          <w:rStyle w:val="Hyperlink"/>
          <w:rFonts w:asciiTheme="majorBidi" w:hAnsiTheme="majorBidi" w:cstheme="majorBidi"/>
          <w:color w:val="000000" w:themeColor="text1"/>
          <w:sz w:val="24"/>
          <w:szCs w:val="24"/>
        </w:rPr>
        <w:t xml:space="preserve"> </w:t>
      </w:r>
      <w:r w:rsidRPr="00615171">
        <w:rPr>
          <w:rStyle w:val="Hyperlink"/>
          <w:rFonts w:asciiTheme="majorBidi" w:hAnsiTheme="majorBidi" w:cstheme="majorBidi"/>
          <w:color w:val="000000" w:themeColor="text1"/>
          <w:sz w:val="24"/>
          <w:szCs w:val="24"/>
          <w:u w:val="none"/>
        </w:rPr>
        <w:t>[Accessed date: 05/05/2014]</w:t>
      </w:r>
    </w:p>
    <w:p w14:paraId="0DDADFD3" w14:textId="46987F89" w:rsidR="002F3AFE" w:rsidRPr="00615171" w:rsidRDefault="002F3AFE" w:rsidP="00615171">
      <w:pPr>
        <w:autoSpaceDE w:val="0"/>
        <w:autoSpaceDN w:val="0"/>
        <w:adjustRightInd w:val="0"/>
        <w:spacing w:after="0" w:line="240" w:lineRule="auto"/>
        <w:ind w:left="785" w:hangingChars="327" w:hanging="785"/>
        <w:jc w:val="both"/>
        <w:rPr>
          <w:rStyle w:val="HTMLCite"/>
          <w:rFonts w:asciiTheme="majorBidi" w:hAnsiTheme="majorBidi" w:cstheme="majorBidi"/>
          <w:i w:val="0"/>
          <w:color w:val="000000" w:themeColor="text1"/>
          <w:sz w:val="24"/>
          <w:szCs w:val="24"/>
        </w:rPr>
      </w:pPr>
      <w:r w:rsidRPr="00615171">
        <w:rPr>
          <w:rFonts w:asciiTheme="majorBidi" w:hAnsiTheme="majorBidi" w:cstheme="majorBidi"/>
          <w:color w:val="000000" w:themeColor="text1"/>
          <w:sz w:val="24"/>
          <w:szCs w:val="24"/>
        </w:rPr>
        <w:t>Oakes, J. M., and Rossi, P. H. (2003)</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‘The measurement of SES in health research: current practice a</w:t>
      </w:r>
      <w:r w:rsidR="00D32B21" w:rsidRPr="00615171">
        <w:rPr>
          <w:rFonts w:asciiTheme="majorBidi" w:hAnsiTheme="majorBidi" w:cstheme="majorBidi"/>
          <w:color w:val="000000" w:themeColor="text1"/>
          <w:sz w:val="24"/>
          <w:szCs w:val="24"/>
        </w:rPr>
        <w:t>nd steps toward a new approach’</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i/>
          <w:iCs/>
          <w:color w:val="000000" w:themeColor="text1"/>
          <w:sz w:val="24"/>
          <w:szCs w:val="24"/>
        </w:rPr>
        <w:t xml:space="preserve">Social Science Medical </w:t>
      </w:r>
      <w:r w:rsidRPr="00615171">
        <w:rPr>
          <w:rFonts w:asciiTheme="majorBidi" w:hAnsiTheme="majorBidi" w:cstheme="majorBidi"/>
          <w:color w:val="000000" w:themeColor="text1"/>
          <w:sz w:val="24"/>
          <w:szCs w:val="24"/>
        </w:rPr>
        <w:t>56(4):769-84.</w:t>
      </w:r>
    </w:p>
    <w:p w14:paraId="20C948BB" w14:textId="5AF94FE8" w:rsidR="00FA7EDD" w:rsidRPr="00615171" w:rsidRDefault="00FA7EDD"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Population Reference Bureau (PRB)</w:t>
      </w:r>
      <w:r w:rsidR="00F203EF"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(2008)</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B2196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Socio-economic Disparities in Old Age</w:t>
      </w:r>
      <w:r w:rsidR="00B2196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w:t>
      </w:r>
      <w:r w:rsidR="00AE7C91" w:rsidRPr="00615171">
        <w:rPr>
          <w:rFonts w:asciiTheme="majorBidi" w:hAnsiTheme="majorBidi" w:cstheme="majorBidi"/>
          <w:color w:val="000000" w:themeColor="text1"/>
          <w:sz w:val="24"/>
          <w:szCs w:val="24"/>
        </w:rPr>
        <w:t xml:space="preserve"> </w:t>
      </w:r>
      <w:r w:rsidRPr="00615171">
        <w:rPr>
          <w:rFonts w:asciiTheme="majorBidi" w:hAnsiTheme="majorBidi" w:cstheme="majorBidi"/>
          <w:i/>
          <w:color w:val="000000" w:themeColor="text1"/>
          <w:sz w:val="24"/>
          <w:szCs w:val="24"/>
        </w:rPr>
        <w:t>Today’s Research on Ageing,</w:t>
      </w:r>
      <w:r w:rsidRPr="00615171">
        <w:rPr>
          <w:rFonts w:asciiTheme="majorBidi" w:hAnsiTheme="majorBidi" w:cstheme="majorBidi"/>
          <w:color w:val="000000" w:themeColor="text1"/>
          <w:sz w:val="24"/>
          <w:szCs w:val="24"/>
        </w:rPr>
        <w:t xml:space="preserve"> 11, </w:t>
      </w:r>
      <w:r w:rsidR="0043430B" w:rsidRPr="00615171">
        <w:rPr>
          <w:rFonts w:asciiTheme="majorBidi" w:hAnsiTheme="majorBidi" w:cstheme="majorBidi"/>
          <w:color w:val="000000" w:themeColor="text1"/>
          <w:sz w:val="24"/>
          <w:szCs w:val="24"/>
        </w:rPr>
        <w:t>Washington, DC 20009 USA.</w:t>
      </w:r>
    </w:p>
    <w:p w14:paraId="796409A9" w14:textId="3E11C3B7" w:rsidR="00852B47" w:rsidRPr="00615171" w:rsidRDefault="00852B47"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Pritchard, C., Wallace, M.S. (2011) Comparing the USA, UK and 17 Western countries’ efficiency and effectiveness in reducing mortality. </w:t>
      </w:r>
      <w:r w:rsidRPr="00615171">
        <w:rPr>
          <w:rFonts w:asciiTheme="majorBidi" w:hAnsiTheme="majorBidi" w:cstheme="majorBidi"/>
          <w:i/>
          <w:color w:val="000000" w:themeColor="text1"/>
          <w:sz w:val="24"/>
          <w:szCs w:val="24"/>
        </w:rPr>
        <w:t>Journal of the Royal Society of Medicine Short Reports</w:t>
      </w:r>
      <w:r w:rsidRPr="00615171">
        <w:rPr>
          <w:rFonts w:asciiTheme="majorBidi" w:hAnsiTheme="majorBidi" w:cstheme="majorBidi"/>
          <w:color w:val="000000" w:themeColor="text1"/>
          <w:sz w:val="24"/>
          <w:szCs w:val="24"/>
        </w:rPr>
        <w:t>. 2-60.</w:t>
      </w:r>
    </w:p>
    <w:p w14:paraId="08EF6933" w14:textId="3C7704D3" w:rsidR="00C61484" w:rsidRPr="00615171" w:rsidRDefault="00C61484" w:rsidP="00615171">
      <w:pPr>
        <w:tabs>
          <w:tab w:val="left" w:pos="360"/>
        </w:tabs>
        <w:spacing w:after="0" w:line="240" w:lineRule="auto"/>
        <w:ind w:left="785" w:hangingChars="327" w:hanging="785"/>
        <w:jc w:val="both"/>
        <w:rPr>
          <w:rFonts w:asciiTheme="majorBidi" w:hAnsiTheme="majorBidi" w:cstheme="majorBidi"/>
          <w:color w:val="000000" w:themeColor="text1"/>
          <w:sz w:val="24"/>
          <w:szCs w:val="24"/>
          <w:lang w:val="en-GB"/>
        </w:rPr>
      </w:pPr>
      <w:r w:rsidRPr="00615171">
        <w:rPr>
          <w:rFonts w:asciiTheme="majorBidi" w:hAnsiTheme="majorBidi" w:cstheme="majorBidi"/>
          <w:color w:val="000000" w:themeColor="text1"/>
          <w:sz w:val="24"/>
          <w:szCs w:val="24"/>
          <w:lang w:val="en-GB"/>
        </w:rPr>
        <w:t xml:space="preserve">Responses, </w:t>
      </w:r>
      <w:r w:rsidRPr="00615171">
        <w:rPr>
          <w:rFonts w:asciiTheme="majorBidi" w:hAnsiTheme="majorBidi" w:cstheme="majorBidi"/>
          <w:i/>
          <w:color w:val="000000" w:themeColor="text1"/>
          <w:sz w:val="24"/>
          <w:szCs w:val="24"/>
          <w:lang w:val="en-GB"/>
        </w:rPr>
        <w:t>Canadian Studies in Population</w:t>
      </w:r>
      <w:r w:rsidRPr="00615171">
        <w:rPr>
          <w:rFonts w:asciiTheme="majorBidi" w:hAnsiTheme="majorBidi" w:cstheme="majorBidi"/>
          <w:color w:val="000000" w:themeColor="text1"/>
          <w:sz w:val="24"/>
          <w:szCs w:val="24"/>
          <w:lang w:val="en-GB"/>
        </w:rPr>
        <w:t xml:space="preserve"> </w:t>
      </w:r>
      <w:r w:rsidRPr="00615171">
        <w:rPr>
          <w:rFonts w:asciiTheme="majorBidi" w:hAnsiTheme="majorBidi" w:cstheme="majorBidi"/>
          <w:b/>
          <w:color w:val="000000" w:themeColor="text1"/>
          <w:sz w:val="24"/>
          <w:szCs w:val="24"/>
          <w:lang w:val="en-GB"/>
        </w:rPr>
        <w:t>35</w:t>
      </w:r>
      <w:r w:rsidRPr="00615171">
        <w:rPr>
          <w:rFonts w:asciiTheme="majorBidi" w:hAnsiTheme="majorBidi" w:cstheme="majorBidi"/>
          <w:color w:val="000000" w:themeColor="text1"/>
          <w:sz w:val="24"/>
          <w:szCs w:val="24"/>
          <w:lang w:val="en-GB"/>
        </w:rPr>
        <w:t>(2):291-310.</w:t>
      </w:r>
    </w:p>
    <w:p w14:paraId="153E2E43" w14:textId="03FA82C2" w:rsidR="00F370FE" w:rsidRPr="00615171" w:rsidRDefault="00F370FE" w:rsidP="00615171">
      <w:pPr>
        <w:tabs>
          <w:tab w:val="left" w:pos="360"/>
        </w:tabs>
        <w:spacing w:after="0" w:line="240" w:lineRule="auto"/>
        <w:ind w:left="785" w:hangingChars="327" w:hanging="785"/>
        <w:jc w:val="both"/>
        <w:rPr>
          <w:rFonts w:asciiTheme="majorBidi" w:hAnsiTheme="majorBidi" w:cstheme="majorBidi"/>
          <w:color w:val="000000" w:themeColor="text1"/>
          <w:sz w:val="24"/>
          <w:szCs w:val="24"/>
          <w:lang w:val="en-GB"/>
        </w:rPr>
      </w:pPr>
      <w:r w:rsidRPr="00615171">
        <w:rPr>
          <w:rFonts w:asciiTheme="majorBidi" w:hAnsiTheme="majorBidi" w:cstheme="majorBidi"/>
          <w:color w:val="000000" w:themeColor="text1"/>
          <w:sz w:val="24"/>
          <w:szCs w:val="24"/>
          <w:lang w:val="en-GB"/>
        </w:rPr>
        <w:t xml:space="preserve">Rees Jones, I., and Higgs, P. (2013) Class and health inequalities in later life. M. Formosa and </w:t>
      </w:r>
      <w:proofErr w:type="spellStart"/>
      <w:r w:rsidRPr="00615171">
        <w:rPr>
          <w:rFonts w:asciiTheme="majorBidi" w:hAnsiTheme="majorBidi" w:cstheme="majorBidi"/>
          <w:color w:val="000000" w:themeColor="text1"/>
          <w:sz w:val="24"/>
          <w:szCs w:val="24"/>
          <w:lang w:val="en-GB"/>
        </w:rPr>
        <w:t>P.Higgs</w:t>
      </w:r>
      <w:proofErr w:type="spellEnd"/>
      <w:r w:rsidRPr="00615171">
        <w:rPr>
          <w:rFonts w:asciiTheme="majorBidi" w:hAnsiTheme="majorBidi" w:cstheme="majorBidi"/>
          <w:color w:val="000000" w:themeColor="text1"/>
          <w:sz w:val="24"/>
          <w:szCs w:val="24"/>
          <w:lang w:val="en-GB"/>
        </w:rPr>
        <w:t xml:space="preserve">. </w:t>
      </w:r>
      <w:r w:rsidRPr="00615171">
        <w:rPr>
          <w:rFonts w:asciiTheme="majorBidi" w:hAnsiTheme="majorBidi" w:cstheme="majorBidi"/>
          <w:i/>
          <w:color w:val="000000" w:themeColor="text1"/>
          <w:sz w:val="24"/>
          <w:szCs w:val="24"/>
          <w:lang w:val="en-GB"/>
        </w:rPr>
        <w:t>Social Class in Later Life: Power, Identity and Lifestyle</w:t>
      </w:r>
      <w:r w:rsidRPr="00615171">
        <w:rPr>
          <w:rFonts w:asciiTheme="majorBidi" w:hAnsiTheme="majorBidi" w:cstheme="majorBidi"/>
          <w:color w:val="000000" w:themeColor="text1"/>
          <w:sz w:val="24"/>
          <w:szCs w:val="24"/>
          <w:lang w:val="en-GB"/>
        </w:rPr>
        <w:t>.  Bristol: Policy Press</w:t>
      </w:r>
    </w:p>
    <w:p w14:paraId="647416E1" w14:textId="12F156BB" w:rsidR="0037617B" w:rsidRPr="00615171" w:rsidRDefault="0037617B" w:rsidP="00615171">
      <w:pPr>
        <w:tabs>
          <w:tab w:val="left" w:pos="360"/>
        </w:tabs>
        <w:spacing w:after="0" w:line="240" w:lineRule="auto"/>
        <w:ind w:left="785" w:hangingChars="327" w:hanging="785"/>
        <w:jc w:val="both"/>
        <w:rPr>
          <w:rFonts w:asciiTheme="majorBidi" w:hAnsiTheme="majorBidi" w:cstheme="majorBidi"/>
          <w:color w:val="000000" w:themeColor="text1"/>
          <w:sz w:val="24"/>
          <w:szCs w:val="24"/>
          <w:lang w:val="en-GB"/>
        </w:rPr>
      </w:pPr>
      <w:r w:rsidRPr="00615171">
        <w:rPr>
          <w:rFonts w:asciiTheme="majorBidi" w:hAnsiTheme="majorBidi" w:cstheme="majorBidi"/>
          <w:color w:val="000000" w:themeColor="text1"/>
          <w:sz w:val="24"/>
          <w:szCs w:val="24"/>
          <w:lang w:val="en-GB"/>
        </w:rPr>
        <w:t>Schuller</w:t>
      </w:r>
      <w:r w:rsidR="00913415" w:rsidRPr="00615171">
        <w:rPr>
          <w:rFonts w:asciiTheme="majorBidi" w:hAnsiTheme="majorBidi" w:cstheme="majorBidi"/>
          <w:color w:val="000000" w:themeColor="text1"/>
          <w:sz w:val="24"/>
          <w:szCs w:val="24"/>
          <w:lang w:val="en-GB"/>
        </w:rPr>
        <w:t>, T.,</w:t>
      </w:r>
      <w:r w:rsidR="00B64CF8">
        <w:rPr>
          <w:rFonts w:asciiTheme="majorBidi" w:hAnsiTheme="majorBidi" w:cstheme="majorBidi"/>
          <w:color w:val="000000" w:themeColor="text1"/>
          <w:sz w:val="24"/>
          <w:szCs w:val="24"/>
          <w:lang w:val="en-GB"/>
        </w:rPr>
        <w:t xml:space="preserve"> </w:t>
      </w:r>
      <w:r w:rsidRPr="00615171">
        <w:rPr>
          <w:rFonts w:asciiTheme="majorBidi" w:hAnsiTheme="majorBidi" w:cstheme="majorBidi"/>
          <w:color w:val="000000" w:themeColor="text1"/>
          <w:sz w:val="24"/>
          <w:szCs w:val="24"/>
          <w:lang w:val="en-GB"/>
        </w:rPr>
        <w:t>and Watson</w:t>
      </w:r>
      <w:r w:rsidR="00913415" w:rsidRPr="00615171">
        <w:rPr>
          <w:rFonts w:asciiTheme="majorBidi" w:hAnsiTheme="majorBidi" w:cstheme="majorBidi"/>
          <w:color w:val="000000" w:themeColor="text1"/>
          <w:sz w:val="24"/>
          <w:szCs w:val="24"/>
          <w:lang w:val="en-GB"/>
        </w:rPr>
        <w:t>, D.</w:t>
      </w:r>
      <w:r w:rsidRPr="00615171">
        <w:rPr>
          <w:rFonts w:asciiTheme="majorBidi" w:hAnsiTheme="majorBidi" w:cstheme="majorBidi"/>
          <w:color w:val="000000" w:themeColor="text1"/>
          <w:sz w:val="24"/>
          <w:szCs w:val="24"/>
          <w:lang w:val="en-GB"/>
        </w:rPr>
        <w:t xml:space="preserve"> (2009)</w:t>
      </w:r>
      <w:r w:rsidR="00913415" w:rsidRPr="00615171">
        <w:rPr>
          <w:rFonts w:asciiTheme="majorBidi" w:hAnsiTheme="majorBidi" w:cstheme="majorBidi"/>
          <w:color w:val="000000" w:themeColor="text1"/>
          <w:sz w:val="24"/>
          <w:szCs w:val="24"/>
          <w:lang w:val="en-GB"/>
        </w:rPr>
        <w:t xml:space="preserve"> </w:t>
      </w:r>
      <w:r w:rsidR="00913415" w:rsidRPr="00615171">
        <w:rPr>
          <w:rFonts w:asciiTheme="majorBidi" w:hAnsiTheme="majorBidi" w:cstheme="majorBidi"/>
          <w:i/>
          <w:color w:val="000000" w:themeColor="text1"/>
          <w:sz w:val="24"/>
          <w:szCs w:val="24"/>
          <w:lang w:val="en-GB"/>
        </w:rPr>
        <w:t>Learning through life: Inquiry into the future for lifelong learning</w:t>
      </w:r>
      <w:r w:rsidR="00913415" w:rsidRPr="00615171">
        <w:rPr>
          <w:rFonts w:asciiTheme="majorBidi" w:hAnsiTheme="majorBidi" w:cstheme="majorBidi"/>
          <w:color w:val="000000" w:themeColor="text1"/>
          <w:sz w:val="24"/>
          <w:szCs w:val="24"/>
          <w:lang w:val="en-GB"/>
        </w:rPr>
        <w:t>.  Leicester, NIACE</w:t>
      </w:r>
    </w:p>
    <w:p w14:paraId="1C21E0CE" w14:textId="77777777" w:rsidR="00EC1B18" w:rsidRPr="00615171" w:rsidRDefault="002D03E9" w:rsidP="00615171">
      <w:pPr>
        <w:tabs>
          <w:tab w:val="left" w:pos="360"/>
        </w:tabs>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Scottish Parliament (2015). Report on health inequalities, SP paper 637, 1</w:t>
      </w:r>
      <w:r w:rsidRPr="00615171">
        <w:rPr>
          <w:rFonts w:asciiTheme="majorBidi" w:hAnsiTheme="majorBidi" w:cstheme="majorBidi"/>
          <w:color w:val="000000" w:themeColor="text1"/>
          <w:sz w:val="24"/>
          <w:szCs w:val="24"/>
          <w:vertAlign w:val="superscript"/>
        </w:rPr>
        <w:t>st</w:t>
      </w:r>
      <w:r w:rsidRPr="00615171">
        <w:rPr>
          <w:rFonts w:asciiTheme="majorBidi" w:hAnsiTheme="majorBidi" w:cstheme="majorBidi"/>
          <w:color w:val="000000" w:themeColor="text1"/>
          <w:sz w:val="24"/>
          <w:szCs w:val="24"/>
        </w:rPr>
        <w:t xml:space="preserve"> report session 4, Scottish Parliamentary Corporate Body.</w:t>
      </w:r>
    </w:p>
    <w:p w14:paraId="153A3168" w14:textId="63E033C5" w:rsidR="002D480F" w:rsidRPr="00615171" w:rsidRDefault="002D480F" w:rsidP="00615171">
      <w:pPr>
        <w:spacing w:after="0" w:line="240" w:lineRule="auto"/>
        <w:ind w:left="785" w:hangingChars="327" w:hanging="785"/>
        <w:jc w:val="both"/>
        <w:rPr>
          <w:rFonts w:asciiTheme="majorBidi" w:eastAsia="Times New Roman" w:hAnsiTheme="majorBidi" w:cstheme="majorBidi"/>
          <w:color w:val="000000" w:themeColor="text1"/>
          <w:sz w:val="24"/>
          <w:szCs w:val="24"/>
        </w:rPr>
      </w:pPr>
      <w:r w:rsidRPr="00615171">
        <w:rPr>
          <w:rFonts w:asciiTheme="majorBidi" w:eastAsia="Times New Roman" w:hAnsiTheme="majorBidi" w:cstheme="majorBidi"/>
          <w:color w:val="000000" w:themeColor="text1"/>
          <w:sz w:val="24"/>
          <w:szCs w:val="24"/>
        </w:rPr>
        <w:t>Shaw, M., Smith, G. D., &amp; Dorling, D. (2005). Health inequalities and New Labour: how the promises compare with real progress</w:t>
      </w:r>
      <w:r w:rsidR="009A442B">
        <w:rPr>
          <w:rFonts w:asciiTheme="majorBidi" w:eastAsia="Times New Roman" w:hAnsiTheme="majorBidi" w:cstheme="majorBidi"/>
          <w:color w:val="000000" w:themeColor="text1"/>
          <w:sz w:val="24"/>
          <w:szCs w:val="24"/>
        </w:rPr>
        <w:t>,</w:t>
      </w:r>
      <w:r w:rsidRPr="00615171">
        <w:rPr>
          <w:rFonts w:asciiTheme="majorBidi" w:eastAsia="Times New Roman" w:hAnsiTheme="majorBidi" w:cstheme="majorBidi"/>
          <w:color w:val="000000" w:themeColor="text1"/>
          <w:sz w:val="24"/>
          <w:szCs w:val="24"/>
        </w:rPr>
        <w:t xml:space="preserve"> </w:t>
      </w:r>
      <w:r w:rsidRPr="00615171">
        <w:rPr>
          <w:rFonts w:asciiTheme="majorBidi" w:eastAsia="Times New Roman" w:hAnsiTheme="majorBidi" w:cstheme="majorBidi"/>
          <w:i/>
          <w:iCs/>
          <w:color w:val="000000" w:themeColor="text1"/>
          <w:sz w:val="24"/>
          <w:szCs w:val="24"/>
        </w:rPr>
        <w:t>BMJ</w:t>
      </w:r>
      <w:r w:rsidRPr="00615171">
        <w:rPr>
          <w:rFonts w:asciiTheme="majorBidi" w:eastAsia="Times New Roman" w:hAnsiTheme="majorBidi" w:cstheme="majorBidi"/>
          <w:color w:val="000000" w:themeColor="text1"/>
          <w:sz w:val="24"/>
          <w:szCs w:val="24"/>
        </w:rPr>
        <w:t xml:space="preserve"> </w:t>
      </w:r>
      <w:r w:rsidRPr="00615171">
        <w:rPr>
          <w:rFonts w:asciiTheme="majorBidi" w:eastAsia="Times New Roman" w:hAnsiTheme="majorBidi" w:cstheme="majorBidi"/>
          <w:i/>
          <w:iCs/>
          <w:color w:val="000000" w:themeColor="text1"/>
          <w:sz w:val="24"/>
          <w:szCs w:val="24"/>
        </w:rPr>
        <w:t>330</w:t>
      </w:r>
      <w:r w:rsidRPr="00615171">
        <w:rPr>
          <w:rFonts w:asciiTheme="majorBidi" w:eastAsia="Times New Roman" w:hAnsiTheme="majorBidi" w:cstheme="majorBidi"/>
          <w:color w:val="000000" w:themeColor="text1"/>
          <w:sz w:val="24"/>
          <w:szCs w:val="24"/>
        </w:rPr>
        <w:t>(7498)</w:t>
      </w:r>
      <w:r w:rsidR="009A442B">
        <w:rPr>
          <w:rFonts w:asciiTheme="majorBidi" w:eastAsia="Times New Roman" w:hAnsiTheme="majorBidi" w:cstheme="majorBidi"/>
          <w:color w:val="000000" w:themeColor="text1"/>
          <w:sz w:val="24"/>
          <w:szCs w:val="24"/>
        </w:rPr>
        <w:t>:</w:t>
      </w:r>
      <w:r w:rsidRPr="00615171">
        <w:rPr>
          <w:rFonts w:asciiTheme="majorBidi" w:eastAsia="Times New Roman" w:hAnsiTheme="majorBidi" w:cstheme="majorBidi"/>
          <w:color w:val="000000" w:themeColor="text1"/>
          <w:sz w:val="24"/>
          <w:szCs w:val="24"/>
        </w:rPr>
        <w:t xml:space="preserve"> 1016-1021.</w:t>
      </w:r>
    </w:p>
    <w:p w14:paraId="64F7EA10" w14:textId="3C16F443" w:rsidR="00DB42C6" w:rsidRPr="00615171" w:rsidRDefault="00DB42C6" w:rsidP="00615171">
      <w:pPr>
        <w:tabs>
          <w:tab w:val="left" w:pos="360"/>
        </w:tabs>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Sloggett</w:t>
      </w:r>
      <w:proofErr w:type="spellEnd"/>
      <w:r w:rsidRPr="00615171">
        <w:rPr>
          <w:rFonts w:asciiTheme="majorBidi" w:hAnsiTheme="majorBidi" w:cstheme="majorBidi"/>
          <w:color w:val="000000" w:themeColor="text1"/>
          <w:sz w:val="24"/>
          <w:szCs w:val="24"/>
        </w:rPr>
        <w:t>, A</w:t>
      </w:r>
      <w:r w:rsidR="00841F05"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w:t>
      </w:r>
      <w:r w:rsidR="00737A63" w:rsidRPr="00615171">
        <w:rPr>
          <w:rFonts w:asciiTheme="majorBidi" w:hAnsiTheme="majorBidi" w:cstheme="majorBidi"/>
          <w:color w:val="000000" w:themeColor="text1"/>
          <w:sz w:val="24"/>
          <w:szCs w:val="24"/>
        </w:rPr>
        <w:t xml:space="preserve"> and</w:t>
      </w:r>
      <w:r w:rsidRPr="00615171">
        <w:rPr>
          <w:rFonts w:asciiTheme="majorBidi" w:hAnsiTheme="majorBidi" w:cstheme="majorBidi"/>
          <w:color w:val="000000" w:themeColor="text1"/>
          <w:sz w:val="24"/>
          <w:szCs w:val="24"/>
        </w:rPr>
        <w:t xml:space="preserve"> Joshi, H. (1998)</w:t>
      </w:r>
      <w:r w:rsidR="00C61484"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B2196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Higher mortality in deprived areas: com</w:t>
      </w:r>
      <w:r w:rsidR="00A373C1" w:rsidRPr="00615171">
        <w:rPr>
          <w:rFonts w:asciiTheme="majorBidi" w:hAnsiTheme="majorBidi" w:cstheme="majorBidi"/>
          <w:color w:val="000000" w:themeColor="text1"/>
          <w:sz w:val="24"/>
          <w:szCs w:val="24"/>
        </w:rPr>
        <w:t xml:space="preserve">munity or personal disadvantage?’, </w:t>
      </w:r>
      <w:r w:rsidRPr="00615171">
        <w:rPr>
          <w:rFonts w:asciiTheme="majorBidi" w:hAnsiTheme="majorBidi" w:cstheme="majorBidi"/>
          <w:i/>
          <w:iCs/>
          <w:color w:val="000000" w:themeColor="text1"/>
          <w:sz w:val="24"/>
          <w:szCs w:val="24"/>
        </w:rPr>
        <w:t>British Medical Journa</w:t>
      </w:r>
      <w:r w:rsidR="00B21961" w:rsidRPr="00615171">
        <w:rPr>
          <w:rFonts w:asciiTheme="majorBidi" w:hAnsiTheme="majorBidi" w:cstheme="majorBidi"/>
          <w:i/>
          <w:iCs/>
          <w:color w:val="000000" w:themeColor="text1"/>
          <w:sz w:val="24"/>
          <w:szCs w:val="24"/>
        </w:rPr>
        <w:t>l</w:t>
      </w:r>
      <w:r w:rsidRPr="00615171">
        <w:rPr>
          <w:rFonts w:asciiTheme="majorBidi" w:hAnsiTheme="majorBidi" w:cstheme="majorBidi"/>
          <w:color w:val="000000" w:themeColor="text1"/>
          <w:sz w:val="24"/>
          <w:szCs w:val="24"/>
        </w:rPr>
        <w:t xml:space="preserve"> </w:t>
      </w:r>
      <w:r w:rsidRPr="00615171">
        <w:rPr>
          <w:rFonts w:asciiTheme="majorBidi" w:hAnsiTheme="majorBidi" w:cstheme="majorBidi"/>
          <w:bCs/>
          <w:color w:val="000000" w:themeColor="text1"/>
          <w:sz w:val="24"/>
          <w:szCs w:val="24"/>
        </w:rPr>
        <w:t>309</w:t>
      </w:r>
      <w:r w:rsidR="00B2196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1470–4.</w:t>
      </w:r>
    </w:p>
    <w:p w14:paraId="6819E133" w14:textId="37EADA8E" w:rsidR="009D3671" w:rsidRPr="00615171" w:rsidRDefault="009D3671" w:rsidP="00615171">
      <w:pPr>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Snell T, Wittenberg R, Fernandez JL, Malley J, Comas-Herrera A, King D (2011). Report. </w:t>
      </w:r>
      <w:hyperlink r:id="rId23" w:history="1">
        <w:r w:rsidRPr="00615171">
          <w:rPr>
            <w:rStyle w:val="Hyperlink"/>
            <w:rFonts w:asciiTheme="majorBidi" w:hAnsiTheme="majorBidi" w:cstheme="majorBidi"/>
            <w:color w:val="000000" w:themeColor="text1"/>
            <w:sz w:val="24"/>
            <w:szCs w:val="24"/>
          </w:rPr>
          <w:t>Projections of Demand for Social Care and Disability Benefits for Younger Adults in England.</w:t>
        </w:r>
      </w:hyperlink>
      <w:r w:rsidRPr="00615171">
        <w:rPr>
          <w:rStyle w:val="apple-converted-space"/>
          <w:rFonts w:asciiTheme="majorBidi" w:hAnsiTheme="majorBidi" w:cstheme="majorBidi"/>
          <w:color w:val="000000" w:themeColor="text1"/>
          <w:sz w:val="24"/>
          <w:szCs w:val="24"/>
        </w:rPr>
        <w:t> </w:t>
      </w:r>
      <w:r w:rsidRPr="00615171">
        <w:rPr>
          <w:rFonts w:asciiTheme="majorBidi" w:hAnsiTheme="majorBidi" w:cstheme="majorBidi"/>
          <w:color w:val="000000" w:themeColor="text1"/>
          <w:sz w:val="24"/>
          <w:szCs w:val="24"/>
        </w:rPr>
        <w:t xml:space="preserve">Report of Research Conducted for the Commission on Funding of Care and Support. PSSRU Discussion paper 2800/3. </w:t>
      </w:r>
    </w:p>
    <w:p w14:paraId="15DB4BE2" w14:textId="2F6B435F" w:rsidR="006806DD" w:rsidRPr="00615171" w:rsidRDefault="006806DD" w:rsidP="00615171">
      <w:pPr>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Tanaka, T., </w:t>
      </w:r>
      <w:proofErr w:type="spellStart"/>
      <w:r w:rsidRPr="00615171">
        <w:rPr>
          <w:rFonts w:asciiTheme="majorBidi" w:hAnsiTheme="majorBidi" w:cstheme="majorBidi"/>
          <w:color w:val="000000" w:themeColor="text1"/>
          <w:sz w:val="24"/>
          <w:szCs w:val="24"/>
        </w:rPr>
        <w:t>Gjoncaj</w:t>
      </w:r>
      <w:proofErr w:type="spellEnd"/>
      <w:r w:rsidRPr="00615171">
        <w:rPr>
          <w:rFonts w:asciiTheme="majorBidi" w:hAnsiTheme="majorBidi" w:cstheme="majorBidi"/>
          <w:color w:val="000000" w:themeColor="text1"/>
          <w:sz w:val="24"/>
          <w:szCs w:val="24"/>
        </w:rPr>
        <w:t xml:space="preserve">, E. and </w:t>
      </w:r>
      <w:proofErr w:type="spellStart"/>
      <w:r w:rsidRPr="00615171">
        <w:rPr>
          <w:rFonts w:asciiTheme="majorBidi" w:hAnsiTheme="majorBidi" w:cstheme="majorBidi"/>
          <w:color w:val="000000" w:themeColor="text1"/>
          <w:sz w:val="24"/>
          <w:szCs w:val="24"/>
        </w:rPr>
        <w:t>Gulliford</w:t>
      </w:r>
      <w:proofErr w:type="spellEnd"/>
      <w:r w:rsidRPr="00615171">
        <w:rPr>
          <w:rFonts w:asciiTheme="majorBidi" w:hAnsiTheme="majorBidi" w:cstheme="majorBidi"/>
          <w:color w:val="000000" w:themeColor="text1"/>
          <w:sz w:val="24"/>
          <w:szCs w:val="24"/>
        </w:rPr>
        <w:t>, C. M. (2011)</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B2196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Income,</w:t>
      </w:r>
      <w:r w:rsidR="00B21961" w:rsidRPr="00615171">
        <w:rPr>
          <w:rFonts w:asciiTheme="majorBidi" w:hAnsiTheme="majorBidi" w:cstheme="majorBidi"/>
          <w:color w:val="000000" w:themeColor="text1"/>
          <w:sz w:val="24"/>
          <w:szCs w:val="24"/>
        </w:rPr>
        <w:t xml:space="preserve"> wealth risk of diabetes among </w:t>
      </w:r>
      <w:r w:rsidRPr="00615171">
        <w:rPr>
          <w:rFonts w:asciiTheme="majorBidi" w:hAnsiTheme="majorBidi" w:cstheme="majorBidi"/>
          <w:color w:val="000000" w:themeColor="text1"/>
          <w:sz w:val="24"/>
          <w:szCs w:val="24"/>
        </w:rPr>
        <w:t xml:space="preserve">older adults: Cohort study </w:t>
      </w:r>
      <w:r w:rsidR="00737A63" w:rsidRPr="00615171">
        <w:rPr>
          <w:rFonts w:asciiTheme="majorBidi" w:hAnsiTheme="majorBidi" w:cstheme="majorBidi"/>
          <w:color w:val="000000" w:themeColor="text1"/>
          <w:sz w:val="24"/>
          <w:szCs w:val="24"/>
        </w:rPr>
        <w:t xml:space="preserve">using the English longitudinal </w:t>
      </w:r>
      <w:r w:rsidRPr="00615171">
        <w:rPr>
          <w:rFonts w:asciiTheme="majorBidi" w:hAnsiTheme="majorBidi" w:cstheme="majorBidi"/>
          <w:color w:val="000000" w:themeColor="text1"/>
          <w:sz w:val="24"/>
          <w:szCs w:val="24"/>
        </w:rPr>
        <w:t>study of ageing</w:t>
      </w:r>
      <w:r w:rsidR="00B21961" w:rsidRPr="00615171">
        <w:rPr>
          <w:rFonts w:asciiTheme="majorBidi" w:hAnsiTheme="majorBidi" w:cstheme="majorBidi"/>
          <w:color w:val="000000" w:themeColor="text1"/>
          <w:sz w:val="24"/>
          <w:szCs w:val="24"/>
        </w:rPr>
        <w:t>’</w:t>
      </w:r>
      <w:r w:rsidRPr="00615171">
        <w:rPr>
          <w:rFonts w:asciiTheme="majorBidi" w:hAnsiTheme="majorBidi" w:cstheme="majorBidi"/>
          <w:i/>
          <w:color w:val="000000" w:themeColor="text1"/>
          <w:sz w:val="24"/>
          <w:szCs w:val="24"/>
        </w:rPr>
        <w:t>, European Journal of Public Health</w:t>
      </w:r>
      <w:r w:rsidR="00B21961" w:rsidRPr="00615171">
        <w:rPr>
          <w:rFonts w:asciiTheme="majorBidi" w:hAnsiTheme="majorBidi" w:cstheme="majorBidi"/>
          <w:color w:val="000000" w:themeColor="text1"/>
          <w:sz w:val="24"/>
          <w:szCs w:val="24"/>
        </w:rPr>
        <w:t xml:space="preserve"> 22(3):</w:t>
      </w:r>
      <w:r w:rsidRPr="00615171">
        <w:rPr>
          <w:rFonts w:asciiTheme="majorBidi" w:hAnsiTheme="majorBidi" w:cstheme="majorBidi"/>
          <w:color w:val="000000" w:themeColor="text1"/>
          <w:sz w:val="24"/>
          <w:szCs w:val="24"/>
        </w:rPr>
        <w:t>310-317.</w:t>
      </w:r>
    </w:p>
    <w:p w14:paraId="66D38AED" w14:textId="2B2EED86" w:rsidR="00810FE4" w:rsidRPr="00615171" w:rsidRDefault="00810FE4"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 xml:space="preserve">Tottenham </w:t>
      </w:r>
      <w:r w:rsidR="00737A63" w:rsidRPr="00615171">
        <w:rPr>
          <w:rFonts w:asciiTheme="majorBidi" w:hAnsiTheme="majorBidi" w:cstheme="majorBidi"/>
          <w:color w:val="000000" w:themeColor="text1"/>
          <w:sz w:val="24"/>
          <w:szCs w:val="24"/>
        </w:rPr>
        <w:t>Green Profile</w:t>
      </w:r>
      <w:r w:rsidR="00F203EF" w:rsidRPr="00615171">
        <w:rPr>
          <w:rFonts w:asciiTheme="majorBidi" w:hAnsiTheme="majorBidi" w:cstheme="majorBidi"/>
          <w:color w:val="000000" w:themeColor="text1"/>
          <w:sz w:val="24"/>
          <w:szCs w:val="24"/>
        </w:rPr>
        <w:t>.</w:t>
      </w:r>
      <w:r w:rsidR="00737A63" w:rsidRPr="00615171">
        <w:rPr>
          <w:rFonts w:asciiTheme="majorBidi" w:hAnsiTheme="majorBidi" w:cstheme="majorBidi"/>
          <w:color w:val="000000" w:themeColor="text1"/>
          <w:sz w:val="24"/>
          <w:szCs w:val="24"/>
        </w:rPr>
        <w:t xml:space="preserve"> (2012)</w:t>
      </w:r>
      <w:r w:rsidR="00F203EF" w:rsidRPr="00615171">
        <w:rPr>
          <w:rFonts w:asciiTheme="majorBidi" w:hAnsiTheme="majorBidi" w:cstheme="majorBidi"/>
          <w:color w:val="000000" w:themeColor="text1"/>
          <w:sz w:val="24"/>
          <w:szCs w:val="24"/>
        </w:rPr>
        <w:t>.</w:t>
      </w:r>
      <w:r w:rsidR="00737A63" w:rsidRPr="00615171">
        <w:rPr>
          <w:rFonts w:asciiTheme="majorBidi" w:hAnsiTheme="majorBidi" w:cstheme="majorBidi"/>
          <w:color w:val="000000" w:themeColor="text1"/>
          <w:sz w:val="24"/>
          <w:szCs w:val="24"/>
        </w:rPr>
        <w:t xml:space="preserve"> </w:t>
      </w:r>
      <w:r w:rsidRPr="00615171">
        <w:rPr>
          <w:rFonts w:asciiTheme="majorBidi" w:hAnsiTheme="majorBidi" w:cstheme="majorBidi"/>
          <w:color w:val="000000" w:themeColor="text1"/>
          <w:sz w:val="24"/>
          <w:szCs w:val="24"/>
        </w:rPr>
        <w:t>Available at</w:t>
      </w:r>
      <w:r w:rsidRPr="00615171">
        <w:rPr>
          <w:rFonts w:asciiTheme="majorBidi" w:hAnsiTheme="majorBidi" w:cstheme="majorBidi"/>
          <w:color w:val="000000" w:themeColor="text1"/>
          <w:sz w:val="24"/>
          <w:szCs w:val="24"/>
        </w:rPr>
        <w:tab/>
      </w:r>
    </w:p>
    <w:p w14:paraId="18FAD3A7" w14:textId="069BF965" w:rsidR="00737A63" w:rsidRPr="00615171" w:rsidRDefault="00AF01E1" w:rsidP="00810FE4">
      <w:pPr>
        <w:autoSpaceDE w:val="0"/>
        <w:autoSpaceDN w:val="0"/>
        <w:adjustRightInd w:val="0"/>
        <w:spacing w:after="0" w:line="240" w:lineRule="auto"/>
        <w:ind w:left="719"/>
        <w:jc w:val="both"/>
        <w:rPr>
          <w:rFonts w:asciiTheme="majorBidi" w:hAnsiTheme="majorBidi" w:cstheme="majorBidi"/>
          <w:color w:val="000000" w:themeColor="text1"/>
          <w:sz w:val="24"/>
          <w:szCs w:val="24"/>
        </w:rPr>
      </w:pPr>
      <w:hyperlink r:id="rId24" w:history="1">
        <w:r w:rsidR="00737A63" w:rsidRPr="00615171">
          <w:rPr>
            <w:rStyle w:val="Hyperlink"/>
            <w:rFonts w:asciiTheme="majorBidi" w:hAnsiTheme="majorBidi" w:cstheme="majorBidi"/>
            <w:color w:val="000000" w:themeColor="text1"/>
            <w:sz w:val="24"/>
            <w:szCs w:val="24"/>
          </w:rPr>
          <w:t>www.haringey.gov.uk/tottenham_green_profile.pdf</w:t>
        </w:r>
      </w:hyperlink>
      <w:r w:rsidR="00810FE4" w:rsidRPr="00615171">
        <w:rPr>
          <w:rStyle w:val="Hyperlink"/>
          <w:rFonts w:asciiTheme="majorBidi" w:hAnsiTheme="majorBidi" w:cstheme="majorBidi"/>
          <w:color w:val="000000" w:themeColor="text1"/>
          <w:sz w:val="24"/>
          <w:szCs w:val="24"/>
        </w:rPr>
        <w:t xml:space="preserve"> </w:t>
      </w:r>
      <w:r w:rsidR="00810FE4" w:rsidRPr="00615171">
        <w:rPr>
          <w:rStyle w:val="Hyperlink"/>
          <w:rFonts w:asciiTheme="majorBidi" w:hAnsiTheme="majorBidi" w:cstheme="majorBidi"/>
          <w:color w:val="000000" w:themeColor="text1"/>
          <w:sz w:val="24"/>
          <w:szCs w:val="24"/>
          <w:u w:val="none"/>
        </w:rPr>
        <w:t xml:space="preserve"> [Accessed date:</w:t>
      </w:r>
      <w:r w:rsidR="00E02996" w:rsidRPr="00615171">
        <w:rPr>
          <w:rStyle w:val="Hyperlink"/>
          <w:rFonts w:asciiTheme="majorBidi" w:hAnsiTheme="majorBidi" w:cstheme="majorBidi"/>
          <w:color w:val="000000" w:themeColor="text1"/>
          <w:sz w:val="24"/>
          <w:szCs w:val="24"/>
          <w:u w:val="none"/>
        </w:rPr>
        <w:t xml:space="preserve"> </w:t>
      </w:r>
      <w:r w:rsidR="00810FE4" w:rsidRPr="00615171">
        <w:rPr>
          <w:rStyle w:val="Hyperlink"/>
          <w:rFonts w:asciiTheme="majorBidi" w:hAnsiTheme="majorBidi" w:cstheme="majorBidi"/>
          <w:color w:val="000000" w:themeColor="text1"/>
          <w:sz w:val="24"/>
          <w:szCs w:val="24"/>
          <w:u w:val="none"/>
        </w:rPr>
        <w:t>15/05/2014]</w:t>
      </w:r>
    </w:p>
    <w:p w14:paraId="69966A22" w14:textId="41045AD8" w:rsidR="00637201" w:rsidRPr="00615171" w:rsidRDefault="00637201"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r w:rsidRPr="00615171">
        <w:rPr>
          <w:rFonts w:asciiTheme="majorBidi" w:hAnsiTheme="majorBidi" w:cstheme="majorBidi"/>
          <w:color w:val="000000" w:themeColor="text1"/>
          <w:sz w:val="24"/>
          <w:szCs w:val="24"/>
        </w:rPr>
        <w:t>Townsend, P. (1979)</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737A63" w:rsidRPr="00615171">
        <w:rPr>
          <w:rFonts w:asciiTheme="majorBidi" w:hAnsiTheme="majorBidi" w:cstheme="majorBidi"/>
          <w:color w:val="000000" w:themeColor="text1"/>
          <w:sz w:val="24"/>
          <w:szCs w:val="24"/>
        </w:rPr>
        <w:t>‘</w:t>
      </w:r>
      <w:r w:rsidRPr="00615171">
        <w:rPr>
          <w:rFonts w:asciiTheme="majorBidi" w:hAnsiTheme="majorBidi" w:cstheme="majorBidi"/>
          <w:i/>
          <w:iCs/>
          <w:color w:val="000000" w:themeColor="text1"/>
          <w:sz w:val="24"/>
          <w:szCs w:val="24"/>
        </w:rPr>
        <w:t>Poverty in the United Kingdom: a survey of household resources and standards of living</w:t>
      </w:r>
      <w:r w:rsidR="00737A63" w:rsidRPr="00615171">
        <w:rPr>
          <w:rFonts w:asciiTheme="majorBidi" w:hAnsiTheme="majorBidi" w:cstheme="majorBidi"/>
          <w:i/>
          <w:iCs/>
          <w:color w:val="000000" w:themeColor="text1"/>
          <w:sz w:val="24"/>
          <w:szCs w:val="24"/>
        </w:rPr>
        <w:t>’</w:t>
      </w:r>
      <w:r w:rsidRPr="00615171">
        <w:rPr>
          <w:rFonts w:asciiTheme="majorBidi" w:hAnsiTheme="majorBidi" w:cstheme="majorBidi"/>
          <w:i/>
          <w:iCs/>
          <w:color w:val="000000" w:themeColor="text1"/>
          <w:sz w:val="24"/>
          <w:szCs w:val="24"/>
        </w:rPr>
        <w:t xml:space="preserve">. </w:t>
      </w:r>
      <w:r w:rsidRPr="00615171">
        <w:rPr>
          <w:rFonts w:asciiTheme="majorBidi" w:hAnsiTheme="majorBidi" w:cstheme="majorBidi"/>
          <w:color w:val="000000" w:themeColor="text1"/>
          <w:sz w:val="24"/>
          <w:szCs w:val="24"/>
        </w:rPr>
        <w:t>1st ed. Middlesex: Penguin Books.</w:t>
      </w:r>
    </w:p>
    <w:p w14:paraId="4D60A7EF" w14:textId="189B2BDB" w:rsidR="007262B4" w:rsidRPr="00615171" w:rsidRDefault="007262B4" w:rsidP="00615171">
      <w:pPr>
        <w:autoSpaceDE w:val="0"/>
        <w:autoSpaceDN w:val="0"/>
        <w:adjustRightInd w:val="0"/>
        <w:spacing w:after="0" w:line="240" w:lineRule="auto"/>
        <w:ind w:left="785" w:hangingChars="327" w:hanging="785"/>
        <w:jc w:val="both"/>
        <w:rPr>
          <w:rFonts w:asciiTheme="majorBidi" w:hAnsiTheme="majorBidi" w:cstheme="majorBidi"/>
          <w:color w:val="000000" w:themeColor="text1"/>
          <w:sz w:val="24"/>
          <w:szCs w:val="24"/>
        </w:rPr>
      </w:pPr>
      <w:proofErr w:type="spellStart"/>
      <w:r w:rsidRPr="00615171">
        <w:rPr>
          <w:rFonts w:asciiTheme="majorBidi" w:hAnsiTheme="majorBidi" w:cstheme="majorBidi"/>
          <w:color w:val="000000" w:themeColor="text1"/>
          <w:sz w:val="24"/>
          <w:szCs w:val="24"/>
        </w:rPr>
        <w:t>Wilkinsona</w:t>
      </w:r>
      <w:proofErr w:type="spellEnd"/>
      <w:r w:rsidRPr="00615171">
        <w:rPr>
          <w:rFonts w:asciiTheme="majorBidi" w:hAnsiTheme="majorBidi" w:cstheme="majorBidi"/>
          <w:color w:val="000000" w:themeColor="text1"/>
          <w:sz w:val="24"/>
          <w:szCs w:val="24"/>
        </w:rPr>
        <w:t xml:space="preserve">, R.G. and Pickett, K.E. (2006). Income inequality and population health: A review and explanation of the evidence, </w:t>
      </w:r>
      <w:r w:rsidRPr="00615171">
        <w:rPr>
          <w:rFonts w:asciiTheme="majorBidi" w:hAnsiTheme="majorBidi" w:cstheme="majorBidi"/>
          <w:i/>
          <w:iCs/>
          <w:color w:val="000000" w:themeColor="text1"/>
          <w:sz w:val="24"/>
          <w:szCs w:val="24"/>
        </w:rPr>
        <w:t>Social Science &amp; Medicine</w:t>
      </w:r>
      <w:r w:rsidRPr="00615171">
        <w:rPr>
          <w:rFonts w:asciiTheme="majorBidi" w:hAnsiTheme="majorBidi" w:cstheme="majorBidi"/>
          <w:color w:val="000000" w:themeColor="text1"/>
          <w:sz w:val="24"/>
          <w:szCs w:val="24"/>
        </w:rPr>
        <w:t xml:space="preserve"> 62:1768–1784. </w:t>
      </w:r>
    </w:p>
    <w:p w14:paraId="4A728A98" w14:textId="193FAF8C" w:rsidR="00D415E8" w:rsidRPr="00615171" w:rsidRDefault="007F5734" w:rsidP="00615171">
      <w:pPr>
        <w:autoSpaceDE w:val="0"/>
        <w:autoSpaceDN w:val="0"/>
        <w:adjustRightInd w:val="0"/>
        <w:spacing w:after="0" w:line="240" w:lineRule="auto"/>
        <w:ind w:left="785" w:hangingChars="327" w:hanging="785"/>
        <w:jc w:val="both"/>
        <w:rPr>
          <w:rStyle w:val="HTMLCite"/>
          <w:rFonts w:asciiTheme="majorBidi" w:hAnsiTheme="majorBidi" w:cstheme="majorBidi"/>
          <w:i w:val="0"/>
          <w:iCs w:val="0"/>
          <w:color w:val="000000" w:themeColor="text1"/>
          <w:sz w:val="24"/>
          <w:szCs w:val="24"/>
        </w:rPr>
      </w:pPr>
      <w:r w:rsidRPr="00615171">
        <w:rPr>
          <w:rFonts w:asciiTheme="majorBidi" w:hAnsiTheme="majorBidi" w:cstheme="majorBidi"/>
          <w:color w:val="000000" w:themeColor="text1"/>
          <w:sz w:val="24"/>
          <w:szCs w:val="24"/>
        </w:rPr>
        <w:t>World</w:t>
      </w:r>
      <w:r w:rsidR="000006DC" w:rsidRPr="00615171">
        <w:rPr>
          <w:rFonts w:asciiTheme="majorBidi" w:hAnsiTheme="majorBidi" w:cstheme="majorBidi"/>
          <w:color w:val="000000" w:themeColor="text1"/>
          <w:sz w:val="24"/>
          <w:szCs w:val="24"/>
        </w:rPr>
        <w:t xml:space="preserve"> Health Organization (WHO)</w:t>
      </w:r>
      <w:r w:rsidR="00E02996" w:rsidRPr="00615171">
        <w:rPr>
          <w:rFonts w:asciiTheme="majorBidi" w:hAnsiTheme="majorBidi" w:cstheme="majorBidi"/>
          <w:color w:val="000000" w:themeColor="text1"/>
          <w:sz w:val="24"/>
          <w:szCs w:val="24"/>
        </w:rPr>
        <w:t>.</w:t>
      </w:r>
      <w:r w:rsidR="000006DC" w:rsidRPr="00615171">
        <w:rPr>
          <w:rFonts w:asciiTheme="majorBidi" w:hAnsiTheme="majorBidi" w:cstheme="majorBidi"/>
          <w:color w:val="000000" w:themeColor="text1"/>
          <w:sz w:val="24"/>
          <w:szCs w:val="24"/>
        </w:rPr>
        <w:t xml:space="preserve"> (1948</w:t>
      </w:r>
      <w:r w:rsidRPr="00615171">
        <w:rPr>
          <w:rFonts w:asciiTheme="majorBidi" w:hAnsiTheme="majorBidi" w:cstheme="majorBidi"/>
          <w:color w:val="000000" w:themeColor="text1"/>
          <w:sz w:val="24"/>
          <w:szCs w:val="24"/>
        </w:rPr>
        <w:t>)</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EB114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Preamble to the Constitution of the World Health Organization</w:t>
      </w:r>
      <w:r w:rsidR="00EB1141"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as adopted by the International Health Conference, 2:100. Available at:</w:t>
      </w:r>
      <w:r w:rsidR="008B773C" w:rsidRPr="00615171">
        <w:rPr>
          <w:rFonts w:asciiTheme="majorBidi" w:hAnsiTheme="majorBidi" w:cstheme="majorBidi"/>
          <w:color w:val="000000" w:themeColor="text1"/>
          <w:sz w:val="24"/>
          <w:szCs w:val="24"/>
        </w:rPr>
        <w:t xml:space="preserve"> </w:t>
      </w:r>
      <w:hyperlink r:id="rId25" w:history="1">
        <w:r w:rsidR="00D415E8" w:rsidRPr="00615171">
          <w:rPr>
            <w:rStyle w:val="Hyperlink"/>
            <w:rFonts w:asciiTheme="majorBidi" w:hAnsiTheme="majorBidi" w:cstheme="majorBidi"/>
            <w:color w:val="000000" w:themeColor="text1"/>
            <w:sz w:val="24"/>
            <w:szCs w:val="24"/>
          </w:rPr>
          <w:t>www.who.int/about/definition/en/print.html</w:t>
        </w:r>
      </w:hyperlink>
      <w:r w:rsidR="00810FE4" w:rsidRPr="00615171">
        <w:rPr>
          <w:rStyle w:val="Hyperlink"/>
          <w:rFonts w:asciiTheme="majorBidi" w:hAnsiTheme="majorBidi" w:cstheme="majorBidi"/>
          <w:color w:val="000000" w:themeColor="text1"/>
          <w:sz w:val="24"/>
          <w:szCs w:val="24"/>
        </w:rPr>
        <w:t xml:space="preserve">  </w:t>
      </w:r>
      <w:r w:rsidR="00810FE4" w:rsidRPr="00615171">
        <w:rPr>
          <w:rStyle w:val="Hyperlink"/>
          <w:rFonts w:asciiTheme="majorBidi" w:hAnsiTheme="majorBidi" w:cstheme="majorBidi"/>
          <w:color w:val="000000" w:themeColor="text1"/>
          <w:sz w:val="24"/>
          <w:szCs w:val="24"/>
          <w:u w:val="none"/>
        </w:rPr>
        <w:t>[Accessed date:16/05/2014]</w:t>
      </w:r>
    </w:p>
    <w:p w14:paraId="273BC6CE" w14:textId="155AE469" w:rsidR="00B21961" w:rsidRPr="00615171" w:rsidRDefault="009A30C6" w:rsidP="00615171">
      <w:pPr>
        <w:spacing w:after="0" w:line="240" w:lineRule="auto"/>
        <w:ind w:left="785" w:hangingChars="327" w:hanging="785"/>
        <w:jc w:val="both"/>
        <w:rPr>
          <w:rStyle w:val="Hyperlink"/>
          <w:rFonts w:asciiTheme="majorBidi" w:hAnsiTheme="majorBidi" w:cstheme="majorBidi"/>
          <w:color w:val="000000" w:themeColor="text1"/>
          <w:sz w:val="24"/>
          <w:szCs w:val="24"/>
          <w:u w:val="none"/>
        </w:rPr>
      </w:pPr>
      <w:r w:rsidRPr="00615171">
        <w:rPr>
          <w:rFonts w:asciiTheme="majorBidi" w:hAnsiTheme="majorBidi" w:cstheme="majorBidi"/>
          <w:color w:val="000000" w:themeColor="text1"/>
          <w:sz w:val="24"/>
          <w:szCs w:val="24"/>
        </w:rPr>
        <w:t>World Health Organization (WHO)</w:t>
      </w:r>
      <w:r w:rsidR="00F203EF"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(2003)</w:t>
      </w:r>
      <w:r w:rsidR="00E02996" w:rsidRPr="00615171">
        <w:rPr>
          <w:rFonts w:asciiTheme="majorBidi" w:hAnsiTheme="majorBidi" w:cstheme="majorBidi"/>
          <w:color w:val="000000" w:themeColor="text1"/>
          <w:sz w:val="24"/>
          <w:szCs w:val="24"/>
        </w:rPr>
        <w:t>.</w:t>
      </w:r>
      <w:r w:rsidRPr="00615171">
        <w:rPr>
          <w:rFonts w:asciiTheme="majorBidi" w:hAnsiTheme="majorBidi" w:cstheme="majorBidi"/>
          <w:color w:val="000000" w:themeColor="text1"/>
          <w:sz w:val="24"/>
          <w:szCs w:val="24"/>
        </w:rPr>
        <w:t xml:space="preserve"> </w:t>
      </w:r>
      <w:r w:rsidR="00737A63" w:rsidRPr="00615171">
        <w:rPr>
          <w:rFonts w:asciiTheme="majorBidi" w:hAnsiTheme="majorBidi" w:cstheme="majorBidi"/>
          <w:color w:val="000000" w:themeColor="text1"/>
          <w:sz w:val="24"/>
          <w:szCs w:val="24"/>
        </w:rPr>
        <w:t>‘</w:t>
      </w:r>
      <w:r w:rsidRPr="00615171">
        <w:rPr>
          <w:rFonts w:asciiTheme="majorBidi" w:hAnsiTheme="majorBidi" w:cstheme="majorBidi"/>
          <w:i/>
          <w:color w:val="000000" w:themeColor="text1"/>
          <w:sz w:val="24"/>
          <w:szCs w:val="24"/>
        </w:rPr>
        <w:t>Social Determinant of Health</w:t>
      </w:r>
      <w:r w:rsidR="00737A63" w:rsidRPr="00615171">
        <w:rPr>
          <w:rFonts w:asciiTheme="majorBidi" w:hAnsiTheme="majorBidi" w:cstheme="majorBidi"/>
          <w:i/>
          <w:color w:val="000000" w:themeColor="text1"/>
          <w:sz w:val="24"/>
          <w:szCs w:val="24"/>
        </w:rPr>
        <w:t>’</w:t>
      </w:r>
      <w:r w:rsidRPr="00615171">
        <w:rPr>
          <w:rFonts w:asciiTheme="majorBidi" w:hAnsiTheme="majorBidi" w:cstheme="majorBidi"/>
          <w:color w:val="000000" w:themeColor="text1"/>
          <w:sz w:val="24"/>
          <w:szCs w:val="24"/>
        </w:rPr>
        <w:t xml:space="preserve">, The Solid Facts, </w:t>
      </w:r>
      <w:r w:rsidR="00D23AC2" w:rsidRPr="00615171">
        <w:rPr>
          <w:rFonts w:asciiTheme="majorBidi" w:hAnsiTheme="majorBidi" w:cstheme="majorBidi"/>
          <w:color w:val="000000" w:themeColor="text1"/>
          <w:sz w:val="24"/>
          <w:szCs w:val="24"/>
        </w:rPr>
        <w:t>Second Edition, International Centre for Health and Society.</w:t>
      </w:r>
      <w:r w:rsidR="00B21961" w:rsidRPr="00615171">
        <w:rPr>
          <w:rFonts w:asciiTheme="majorBidi" w:hAnsiTheme="majorBidi" w:cstheme="majorBidi"/>
          <w:color w:val="000000" w:themeColor="text1"/>
          <w:sz w:val="24"/>
          <w:szCs w:val="24"/>
        </w:rPr>
        <w:t xml:space="preserve"> Available at:</w:t>
      </w:r>
      <w:r w:rsidR="008B773C" w:rsidRPr="00615171">
        <w:rPr>
          <w:rFonts w:asciiTheme="majorBidi" w:hAnsiTheme="majorBidi" w:cstheme="majorBidi"/>
          <w:color w:val="000000" w:themeColor="text1"/>
          <w:sz w:val="24"/>
          <w:szCs w:val="24"/>
        </w:rPr>
        <w:t xml:space="preserve"> </w:t>
      </w:r>
      <w:hyperlink r:id="rId26" w:history="1">
        <w:r w:rsidR="00B21961" w:rsidRPr="00615171">
          <w:rPr>
            <w:rStyle w:val="Hyperlink"/>
            <w:rFonts w:asciiTheme="majorBidi" w:hAnsiTheme="majorBidi" w:cstheme="majorBidi"/>
            <w:color w:val="000000" w:themeColor="text1"/>
            <w:sz w:val="24"/>
            <w:szCs w:val="24"/>
          </w:rPr>
          <w:t>www.euro.who.int/__data/assets/pdf_file/0005/98438/e81384.pdf</w:t>
        </w:r>
      </w:hyperlink>
      <w:r w:rsidR="00810FE4" w:rsidRPr="00615171">
        <w:rPr>
          <w:rStyle w:val="Hyperlink"/>
          <w:rFonts w:asciiTheme="majorBidi" w:hAnsiTheme="majorBidi" w:cstheme="majorBidi"/>
          <w:color w:val="000000" w:themeColor="text1"/>
          <w:sz w:val="24"/>
          <w:szCs w:val="24"/>
          <w:u w:val="none"/>
        </w:rPr>
        <w:t xml:space="preserve"> [Accessed date:</w:t>
      </w:r>
      <w:r w:rsidR="00E02996" w:rsidRPr="00615171">
        <w:rPr>
          <w:rStyle w:val="Hyperlink"/>
          <w:rFonts w:asciiTheme="majorBidi" w:hAnsiTheme="majorBidi" w:cstheme="majorBidi"/>
          <w:color w:val="000000" w:themeColor="text1"/>
          <w:sz w:val="24"/>
          <w:szCs w:val="24"/>
          <w:u w:val="none"/>
        </w:rPr>
        <w:t xml:space="preserve"> </w:t>
      </w:r>
      <w:r w:rsidR="00810FE4" w:rsidRPr="00615171">
        <w:rPr>
          <w:rStyle w:val="Hyperlink"/>
          <w:rFonts w:asciiTheme="majorBidi" w:hAnsiTheme="majorBidi" w:cstheme="majorBidi"/>
          <w:color w:val="000000" w:themeColor="text1"/>
          <w:sz w:val="24"/>
          <w:szCs w:val="24"/>
          <w:u w:val="none"/>
        </w:rPr>
        <w:t>18/05/2014]</w:t>
      </w:r>
    </w:p>
    <w:p w14:paraId="0B69BEE4" w14:textId="567998FA" w:rsidR="00706F93" w:rsidRPr="00615171" w:rsidRDefault="00706F93" w:rsidP="00615171">
      <w:pPr>
        <w:spacing w:after="0" w:line="240" w:lineRule="auto"/>
        <w:ind w:left="785" w:hangingChars="327" w:hanging="785"/>
        <w:jc w:val="both"/>
        <w:rPr>
          <w:rStyle w:val="HTMLCite"/>
          <w:rFonts w:asciiTheme="majorBidi" w:hAnsiTheme="majorBidi" w:cstheme="majorBidi"/>
          <w:i w:val="0"/>
          <w:iCs w:val="0"/>
          <w:color w:val="000000" w:themeColor="text1"/>
          <w:sz w:val="24"/>
          <w:szCs w:val="24"/>
        </w:rPr>
      </w:pPr>
    </w:p>
    <w:sectPr w:rsidR="00706F93" w:rsidRPr="00615171" w:rsidSect="00D6188C">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14F2A" w14:textId="77777777" w:rsidR="00AF01E1" w:rsidRDefault="00AF01E1" w:rsidP="0080440B">
      <w:pPr>
        <w:spacing w:after="0" w:line="240" w:lineRule="auto"/>
      </w:pPr>
      <w:r>
        <w:separator/>
      </w:r>
    </w:p>
  </w:endnote>
  <w:endnote w:type="continuationSeparator" w:id="0">
    <w:p w14:paraId="6D633105" w14:textId="77777777" w:rsidR="00AF01E1" w:rsidRDefault="00AF01E1" w:rsidP="0080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398260"/>
      <w:docPartObj>
        <w:docPartGallery w:val="Page Numbers (Bottom of Page)"/>
        <w:docPartUnique/>
      </w:docPartObj>
    </w:sdtPr>
    <w:sdtEndPr>
      <w:rPr>
        <w:noProof/>
      </w:rPr>
    </w:sdtEndPr>
    <w:sdtContent>
      <w:p w14:paraId="608D70CC" w14:textId="5E6C45B8" w:rsidR="00E45D9C" w:rsidRDefault="00E45D9C">
        <w:pPr>
          <w:pStyle w:val="Footer"/>
          <w:jc w:val="right"/>
        </w:pPr>
        <w:r>
          <w:fldChar w:fldCharType="begin"/>
        </w:r>
        <w:r>
          <w:instrText xml:space="preserve"> PAGE   \* MERGEFORMAT </w:instrText>
        </w:r>
        <w:r>
          <w:fldChar w:fldCharType="separate"/>
        </w:r>
        <w:r w:rsidR="009D1036">
          <w:rPr>
            <w:noProof/>
          </w:rPr>
          <w:t>20</w:t>
        </w:r>
        <w:r>
          <w:rPr>
            <w:noProof/>
          </w:rPr>
          <w:fldChar w:fldCharType="end"/>
        </w:r>
      </w:p>
    </w:sdtContent>
  </w:sdt>
  <w:p w14:paraId="319E85C3" w14:textId="77777777" w:rsidR="00E45D9C" w:rsidRDefault="00E4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1A72" w14:textId="77777777" w:rsidR="00AF01E1" w:rsidRDefault="00AF01E1" w:rsidP="0080440B">
      <w:pPr>
        <w:spacing w:after="0" w:line="240" w:lineRule="auto"/>
      </w:pPr>
      <w:r>
        <w:separator/>
      </w:r>
    </w:p>
  </w:footnote>
  <w:footnote w:type="continuationSeparator" w:id="0">
    <w:p w14:paraId="04E2EDB2" w14:textId="77777777" w:rsidR="00AF01E1" w:rsidRDefault="00AF01E1" w:rsidP="00804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E913D" w14:textId="4ED0BA8F" w:rsidR="00E45D9C" w:rsidRDefault="00E45D9C">
    <w:pPr>
      <w:pStyle w:val="Header"/>
      <w:jc w:val="right"/>
    </w:pPr>
  </w:p>
  <w:p w14:paraId="4946B3C4" w14:textId="77777777" w:rsidR="00E45D9C" w:rsidRDefault="00E4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866"/>
    <w:multiLevelType w:val="hybridMultilevel"/>
    <w:tmpl w:val="BAC223BC"/>
    <w:lvl w:ilvl="0" w:tplc="5D12ED00">
      <w:start w:val="13"/>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96B5B"/>
    <w:multiLevelType w:val="multilevel"/>
    <w:tmpl w:val="88CC8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E54C7A"/>
    <w:multiLevelType w:val="multilevel"/>
    <w:tmpl w:val="5FF0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D69A3"/>
    <w:multiLevelType w:val="hybridMultilevel"/>
    <w:tmpl w:val="7C8A29A0"/>
    <w:lvl w:ilvl="0" w:tplc="5FF482EE">
      <w:start w:val="18"/>
      <w:numFmt w:val="bullet"/>
      <w:lvlText w:val=""/>
      <w:lvlJc w:val="left"/>
      <w:pPr>
        <w:ind w:left="720" w:hanging="360"/>
      </w:pPr>
      <w:rPr>
        <w:rFonts w:ascii="Symbol" w:eastAsiaTheme="minorEastAsia" w:hAnsi="Symbol" w:cstheme="minorBidi" w:hint="default"/>
        <w:b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6B3DB3"/>
    <w:multiLevelType w:val="multilevel"/>
    <w:tmpl w:val="5D58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7A0F22"/>
    <w:multiLevelType w:val="multilevel"/>
    <w:tmpl w:val="7DAC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40365"/>
    <w:multiLevelType w:val="hybridMultilevel"/>
    <w:tmpl w:val="154ED5F0"/>
    <w:lvl w:ilvl="0" w:tplc="A72813A6">
      <w:start w:val="18"/>
      <w:numFmt w:val="bullet"/>
      <w:lvlText w:val=""/>
      <w:lvlJc w:val="left"/>
      <w:pPr>
        <w:ind w:left="720" w:hanging="360"/>
      </w:pPr>
      <w:rPr>
        <w:rFonts w:ascii="Symbol" w:eastAsiaTheme="minorEastAsia" w:hAnsi="Symbol" w:cstheme="minorBid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708F3"/>
    <w:multiLevelType w:val="multilevel"/>
    <w:tmpl w:val="142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4"/>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C3"/>
    <w:rsid w:val="000006DC"/>
    <w:rsid w:val="00000CF2"/>
    <w:rsid w:val="00003A98"/>
    <w:rsid w:val="0000540E"/>
    <w:rsid w:val="00007424"/>
    <w:rsid w:val="000103E3"/>
    <w:rsid w:val="00012791"/>
    <w:rsid w:val="0001362C"/>
    <w:rsid w:val="00020AC5"/>
    <w:rsid w:val="00021233"/>
    <w:rsid w:val="00022427"/>
    <w:rsid w:val="00022D8D"/>
    <w:rsid w:val="000275D2"/>
    <w:rsid w:val="0002776B"/>
    <w:rsid w:val="00027F02"/>
    <w:rsid w:val="00030F66"/>
    <w:rsid w:val="0003338F"/>
    <w:rsid w:val="000348F7"/>
    <w:rsid w:val="00034BA5"/>
    <w:rsid w:val="000354C9"/>
    <w:rsid w:val="00041B52"/>
    <w:rsid w:val="00042694"/>
    <w:rsid w:val="0004347B"/>
    <w:rsid w:val="00044406"/>
    <w:rsid w:val="00044E7C"/>
    <w:rsid w:val="00055EB1"/>
    <w:rsid w:val="000570C4"/>
    <w:rsid w:val="000606CF"/>
    <w:rsid w:val="00063E32"/>
    <w:rsid w:val="0006769F"/>
    <w:rsid w:val="00071F64"/>
    <w:rsid w:val="00072C29"/>
    <w:rsid w:val="00072E78"/>
    <w:rsid w:val="00077A12"/>
    <w:rsid w:val="0008079E"/>
    <w:rsid w:val="00080A2A"/>
    <w:rsid w:val="0008325E"/>
    <w:rsid w:val="00087CE3"/>
    <w:rsid w:val="00092C5A"/>
    <w:rsid w:val="00094D96"/>
    <w:rsid w:val="00096723"/>
    <w:rsid w:val="000971E9"/>
    <w:rsid w:val="000A26BA"/>
    <w:rsid w:val="000B351C"/>
    <w:rsid w:val="000B5355"/>
    <w:rsid w:val="000B6299"/>
    <w:rsid w:val="000C44D2"/>
    <w:rsid w:val="000C712B"/>
    <w:rsid w:val="000C79D9"/>
    <w:rsid w:val="000D12F6"/>
    <w:rsid w:val="000D2751"/>
    <w:rsid w:val="000D2AEC"/>
    <w:rsid w:val="000D31B8"/>
    <w:rsid w:val="000D349A"/>
    <w:rsid w:val="000D5396"/>
    <w:rsid w:val="000E000A"/>
    <w:rsid w:val="000E0182"/>
    <w:rsid w:val="000E099A"/>
    <w:rsid w:val="000E27FF"/>
    <w:rsid w:val="000E5BEA"/>
    <w:rsid w:val="000E5C36"/>
    <w:rsid w:val="000E6C40"/>
    <w:rsid w:val="000F0202"/>
    <w:rsid w:val="000F20A2"/>
    <w:rsid w:val="000F260D"/>
    <w:rsid w:val="000F2A4A"/>
    <w:rsid w:val="000F2BE9"/>
    <w:rsid w:val="000F5F64"/>
    <w:rsid w:val="001049ED"/>
    <w:rsid w:val="0010745D"/>
    <w:rsid w:val="00111342"/>
    <w:rsid w:val="00111ED9"/>
    <w:rsid w:val="00112F0B"/>
    <w:rsid w:val="00113835"/>
    <w:rsid w:val="001161CF"/>
    <w:rsid w:val="00121D73"/>
    <w:rsid w:val="00123490"/>
    <w:rsid w:val="00126051"/>
    <w:rsid w:val="00127445"/>
    <w:rsid w:val="00132FCC"/>
    <w:rsid w:val="001347BA"/>
    <w:rsid w:val="0013554C"/>
    <w:rsid w:val="00136106"/>
    <w:rsid w:val="0013690D"/>
    <w:rsid w:val="00137BE0"/>
    <w:rsid w:val="001415E0"/>
    <w:rsid w:val="0014324B"/>
    <w:rsid w:val="001501D0"/>
    <w:rsid w:val="00150314"/>
    <w:rsid w:val="0015580A"/>
    <w:rsid w:val="0015664B"/>
    <w:rsid w:val="0015744C"/>
    <w:rsid w:val="001615F2"/>
    <w:rsid w:val="00162EAB"/>
    <w:rsid w:val="00164AA4"/>
    <w:rsid w:val="00165E0F"/>
    <w:rsid w:val="00173DD9"/>
    <w:rsid w:val="00175D57"/>
    <w:rsid w:val="0017630D"/>
    <w:rsid w:val="00176341"/>
    <w:rsid w:val="0017769F"/>
    <w:rsid w:val="00177A29"/>
    <w:rsid w:val="00181658"/>
    <w:rsid w:val="00190882"/>
    <w:rsid w:val="0019291A"/>
    <w:rsid w:val="00192ADA"/>
    <w:rsid w:val="0019432A"/>
    <w:rsid w:val="001969EC"/>
    <w:rsid w:val="001972A4"/>
    <w:rsid w:val="00197FED"/>
    <w:rsid w:val="001A2D51"/>
    <w:rsid w:val="001A7180"/>
    <w:rsid w:val="001B45C7"/>
    <w:rsid w:val="001B5F4E"/>
    <w:rsid w:val="001C26DE"/>
    <w:rsid w:val="001C32BA"/>
    <w:rsid w:val="001C53A9"/>
    <w:rsid w:val="001C55B2"/>
    <w:rsid w:val="001D0061"/>
    <w:rsid w:val="001D1E1E"/>
    <w:rsid w:val="001D58EF"/>
    <w:rsid w:val="001D5B88"/>
    <w:rsid w:val="001D6A51"/>
    <w:rsid w:val="001D772A"/>
    <w:rsid w:val="001E04C2"/>
    <w:rsid w:val="001E20C2"/>
    <w:rsid w:val="001E33B3"/>
    <w:rsid w:val="001E3706"/>
    <w:rsid w:val="001E3C00"/>
    <w:rsid w:val="001E7BC3"/>
    <w:rsid w:val="001F5640"/>
    <w:rsid w:val="001F6693"/>
    <w:rsid w:val="001F69A5"/>
    <w:rsid w:val="00200ACC"/>
    <w:rsid w:val="0020246D"/>
    <w:rsid w:val="00205B45"/>
    <w:rsid w:val="002061CA"/>
    <w:rsid w:val="00207183"/>
    <w:rsid w:val="0021129B"/>
    <w:rsid w:val="00212DEE"/>
    <w:rsid w:val="00214E7E"/>
    <w:rsid w:val="002153B1"/>
    <w:rsid w:val="0021590F"/>
    <w:rsid w:val="00215980"/>
    <w:rsid w:val="00221646"/>
    <w:rsid w:val="00224ED8"/>
    <w:rsid w:val="00226B18"/>
    <w:rsid w:val="00230804"/>
    <w:rsid w:val="002310F1"/>
    <w:rsid w:val="00231EB0"/>
    <w:rsid w:val="00233185"/>
    <w:rsid w:val="00236433"/>
    <w:rsid w:val="00244695"/>
    <w:rsid w:val="00246C92"/>
    <w:rsid w:val="00247BD8"/>
    <w:rsid w:val="00247E8A"/>
    <w:rsid w:val="00247FDE"/>
    <w:rsid w:val="002524C5"/>
    <w:rsid w:val="00252662"/>
    <w:rsid w:val="00256CED"/>
    <w:rsid w:val="002611CC"/>
    <w:rsid w:val="00262339"/>
    <w:rsid w:val="00262941"/>
    <w:rsid w:val="0026302F"/>
    <w:rsid w:val="00263687"/>
    <w:rsid w:val="00265C0A"/>
    <w:rsid w:val="002674EC"/>
    <w:rsid w:val="00270322"/>
    <w:rsid w:val="002710CA"/>
    <w:rsid w:val="00273048"/>
    <w:rsid w:val="00281705"/>
    <w:rsid w:val="0028365E"/>
    <w:rsid w:val="0028398F"/>
    <w:rsid w:val="00284F8E"/>
    <w:rsid w:val="0028726C"/>
    <w:rsid w:val="002876A3"/>
    <w:rsid w:val="002925FF"/>
    <w:rsid w:val="00293B2D"/>
    <w:rsid w:val="00294DE3"/>
    <w:rsid w:val="002951ED"/>
    <w:rsid w:val="00296D57"/>
    <w:rsid w:val="002A15B3"/>
    <w:rsid w:val="002A458F"/>
    <w:rsid w:val="002A48C8"/>
    <w:rsid w:val="002A4B7E"/>
    <w:rsid w:val="002B0536"/>
    <w:rsid w:val="002B06B9"/>
    <w:rsid w:val="002B0F26"/>
    <w:rsid w:val="002B5CB1"/>
    <w:rsid w:val="002B701F"/>
    <w:rsid w:val="002B73C5"/>
    <w:rsid w:val="002C050D"/>
    <w:rsid w:val="002C22C2"/>
    <w:rsid w:val="002C23E2"/>
    <w:rsid w:val="002C344D"/>
    <w:rsid w:val="002C3609"/>
    <w:rsid w:val="002C66D2"/>
    <w:rsid w:val="002D03E9"/>
    <w:rsid w:val="002D07DB"/>
    <w:rsid w:val="002D0C05"/>
    <w:rsid w:val="002D2D5A"/>
    <w:rsid w:val="002D480F"/>
    <w:rsid w:val="002D773C"/>
    <w:rsid w:val="002E0F53"/>
    <w:rsid w:val="002E5F20"/>
    <w:rsid w:val="002E7C04"/>
    <w:rsid w:val="002F0969"/>
    <w:rsid w:val="002F3AFE"/>
    <w:rsid w:val="00300934"/>
    <w:rsid w:val="00300DCE"/>
    <w:rsid w:val="00302764"/>
    <w:rsid w:val="003029FC"/>
    <w:rsid w:val="003041C2"/>
    <w:rsid w:val="0030575D"/>
    <w:rsid w:val="0031041A"/>
    <w:rsid w:val="00311F73"/>
    <w:rsid w:val="00314F8B"/>
    <w:rsid w:val="00316D47"/>
    <w:rsid w:val="00317DD4"/>
    <w:rsid w:val="0032146D"/>
    <w:rsid w:val="00321760"/>
    <w:rsid w:val="00324A09"/>
    <w:rsid w:val="00327781"/>
    <w:rsid w:val="003336B5"/>
    <w:rsid w:val="0033610B"/>
    <w:rsid w:val="00340161"/>
    <w:rsid w:val="00345724"/>
    <w:rsid w:val="00346B84"/>
    <w:rsid w:val="00347A45"/>
    <w:rsid w:val="00350660"/>
    <w:rsid w:val="00352516"/>
    <w:rsid w:val="003539E6"/>
    <w:rsid w:val="00361134"/>
    <w:rsid w:val="0036545F"/>
    <w:rsid w:val="00365FE9"/>
    <w:rsid w:val="00366FF0"/>
    <w:rsid w:val="003716A3"/>
    <w:rsid w:val="00371DBB"/>
    <w:rsid w:val="00371DBC"/>
    <w:rsid w:val="00372E2D"/>
    <w:rsid w:val="00374726"/>
    <w:rsid w:val="00375214"/>
    <w:rsid w:val="0037554E"/>
    <w:rsid w:val="00375B03"/>
    <w:rsid w:val="0037617B"/>
    <w:rsid w:val="00376421"/>
    <w:rsid w:val="00377D74"/>
    <w:rsid w:val="00380FC6"/>
    <w:rsid w:val="0038340A"/>
    <w:rsid w:val="0038408B"/>
    <w:rsid w:val="00384EDE"/>
    <w:rsid w:val="00386133"/>
    <w:rsid w:val="00390E58"/>
    <w:rsid w:val="003971E3"/>
    <w:rsid w:val="00397F4F"/>
    <w:rsid w:val="003A0914"/>
    <w:rsid w:val="003A4281"/>
    <w:rsid w:val="003A44CE"/>
    <w:rsid w:val="003A50F9"/>
    <w:rsid w:val="003B0D68"/>
    <w:rsid w:val="003B3BFE"/>
    <w:rsid w:val="003B4A94"/>
    <w:rsid w:val="003B4D6C"/>
    <w:rsid w:val="003B6969"/>
    <w:rsid w:val="003C30FA"/>
    <w:rsid w:val="003C5B38"/>
    <w:rsid w:val="003C6BAC"/>
    <w:rsid w:val="003C76C0"/>
    <w:rsid w:val="003D312D"/>
    <w:rsid w:val="003D5996"/>
    <w:rsid w:val="003D5C42"/>
    <w:rsid w:val="003D5D53"/>
    <w:rsid w:val="003D5F29"/>
    <w:rsid w:val="003E0E45"/>
    <w:rsid w:val="003E3BDD"/>
    <w:rsid w:val="003E5DEC"/>
    <w:rsid w:val="003F037A"/>
    <w:rsid w:val="003F056B"/>
    <w:rsid w:val="003F0E4F"/>
    <w:rsid w:val="003F0F94"/>
    <w:rsid w:val="003F2917"/>
    <w:rsid w:val="003F62EC"/>
    <w:rsid w:val="003F72C3"/>
    <w:rsid w:val="0040182A"/>
    <w:rsid w:val="00402350"/>
    <w:rsid w:val="004028B0"/>
    <w:rsid w:val="00402929"/>
    <w:rsid w:val="0040344C"/>
    <w:rsid w:val="00410D3C"/>
    <w:rsid w:val="00412417"/>
    <w:rsid w:val="00414DAE"/>
    <w:rsid w:val="0042073D"/>
    <w:rsid w:val="00420F16"/>
    <w:rsid w:val="0042364A"/>
    <w:rsid w:val="00423C0B"/>
    <w:rsid w:val="004273D6"/>
    <w:rsid w:val="00430C8E"/>
    <w:rsid w:val="00430E04"/>
    <w:rsid w:val="0043270B"/>
    <w:rsid w:val="004327E6"/>
    <w:rsid w:val="00433A84"/>
    <w:rsid w:val="0043430B"/>
    <w:rsid w:val="0043544D"/>
    <w:rsid w:val="0044086A"/>
    <w:rsid w:val="00442B34"/>
    <w:rsid w:val="00444293"/>
    <w:rsid w:val="00444C0B"/>
    <w:rsid w:val="00446600"/>
    <w:rsid w:val="00452961"/>
    <w:rsid w:val="0045381D"/>
    <w:rsid w:val="00455C07"/>
    <w:rsid w:val="00456774"/>
    <w:rsid w:val="0045694D"/>
    <w:rsid w:val="004579A1"/>
    <w:rsid w:val="00465366"/>
    <w:rsid w:val="00466BBE"/>
    <w:rsid w:val="00471065"/>
    <w:rsid w:val="004729B5"/>
    <w:rsid w:val="004730A0"/>
    <w:rsid w:val="0047535A"/>
    <w:rsid w:val="0048060B"/>
    <w:rsid w:val="004823EA"/>
    <w:rsid w:val="00483171"/>
    <w:rsid w:val="00483F0E"/>
    <w:rsid w:val="00486613"/>
    <w:rsid w:val="00486B16"/>
    <w:rsid w:val="004873F9"/>
    <w:rsid w:val="00487490"/>
    <w:rsid w:val="00487748"/>
    <w:rsid w:val="0049043C"/>
    <w:rsid w:val="004961BE"/>
    <w:rsid w:val="00497365"/>
    <w:rsid w:val="004A1E26"/>
    <w:rsid w:val="004A4DF0"/>
    <w:rsid w:val="004A6749"/>
    <w:rsid w:val="004A683C"/>
    <w:rsid w:val="004B0DF3"/>
    <w:rsid w:val="004B2E77"/>
    <w:rsid w:val="004B3CF9"/>
    <w:rsid w:val="004B4318"/>
    <w:rsid w:val="004B5379"/>
    <w:rsid w:val="004B5B50"/>
    <w:rsid w:val="004B6528"/>
    <w:rsid w:val="004C235B"/>
    <w:rsid w:val="004C3F83"/>
    <w:rsid w:val="004C6C9C"/>
    <w:rsid w:val="004D2C17"/>
    <w:rsid w:val="004D5B70"/>
    <w:rsid w:val="004D6C53"/>
    <w:rsid w:val="004D6F0A"/>
    <w:rsid w:val="004E2EF0"/>
    <w:rsid w:val="004E3739"/>
    <w:rsid w:val="004E6B0C"/>
    <w:rsid w:val="004E7901"/>
    <w:rsid w:val="004F1772"/>
    <w:rsid w:val="004F2616"/>
    <w:rsid w:val="004F2926"/>
    <w:rsid w:val="004F5450"/>
    <w:rsid w:val="004F5B47"/>
    <w:rsid w:val="004F6F49"/>
    <w:rsid w:val="005017B3"/>
    <w:rsid w:val="005047FA"/>
    <w:rsid w:val="00507AD8"/>
    <w:rsid w:val="00510BD6"/>
    <w:rsid w:val="0051329A"/>
    <w:rsid w:val="00515435"/>
    <w:rsid w:val="00516608"/>
    <w:rsid w:val="00517324"/>
    <w:rsid w:val="005178AE"/>
    <w:rsid w:val="0052255B"/>
    <w:rsid w:val="00524517"/>
    <w:rsid w:val="00526E2C"/>
    <w:rsid w:val="0053203A"/>
    <w:rsid w:val="00535101"/>
    <w:rsid w:val="00535802"/>
    <w:rsid w:val="00537680"/>
    <w:rsid w:val="00541619"/>
    <w:rsid w:val="005430CB"/>
    <w:rsid w:val="005437C1"/>
    <w:rsid w:val="00544187"/>
    <w:rsid w:val="00545C80"/>
    <w:rsid w:val="005475AE"/>
    <w:rsid w:val="00554EE1"/>
    <w:rsid w:val="0056324F"/>
    <w:rsid w:val="005636E9"/>
    <w:rsid w:val="0056402A"/>
    <w:rsid w:val="00567C5A"/>
    <w:rsid w:val="005738FC"/>
    <w:rsid w:val="00574B76"/>
    <w:rsid w:val="00575957"/>
    <w:rsid w:val="00575B20"/>
    <w:rsid w:val="0058318F"/>
    <w:rsid w:val="005857A0"/>
    <w:rsid w:val="00586EFB"/>
    <w:rsid w:val="00592F40"/>
    <w:rsid w:val="0059361F"/>
    <w:rsid w:val="00596520"/>
    <w:rsid w:val="005A06D8"/>
    <w:rsid w:val="005A32A3"/>
    <w:rsid w:val="005A4769"/>
    <w:rsid w:val="005A5D43"/>
    <w:rsid w:val="005A6471"/>
    <w:rsid w:val="005B0EB3"/>
    <w:rsid w:val="005B226A"/>
    <w:rsid w:val="005B31F9"/>
    <w:rsid w:val="005B4A0E"/>
    <w:rsid w:val="005B6A9A"/>
    <w:rsid w:val="005C5A90"/>
    <w:rsid w:val="005D10F3"/>
    <w:rsid w:val="005D12B4"/>
    <w:rsid w:val="005D1377"/>
    <w:rsid w:val="005D16CB"/>
    <w:rsid w:val="005D236E"/>
    <w:rsid w:val="005D27A6"/>
    <w:rsid w:val="005D2A5E"/>
    <w:rsid w:val="005D2CE2"/>
    <w:rsid w:val="005D5FA7"/>
    <w:rsid w:val="005D612C"/>
    <w:rsid w:val="005E0842"/>
    <w:rsid w:val="005E1A9F"/>
    <w:rsid w:val="005E1BDF"/>
    <w:rsid w:val="005E3A70"/>
    <w:rsid w:val="005E3AD4"/>
    <w:rsid w:val="005F2D15"/>
    <w:rsid w:val="005F585D"/>
    <w:rsid w:val="006063C1"/>
    <w:rsid w:val="00606620"/>
    <w:rsid w:val="00610403"/>
    <w:rsid w:val="00613787"/>
    <w:rsid w:val="00614338"/>
    <w:rsid w:val="00615171"/>
    <w:rsid w:val="0061728B"/>
    <w:rsid w:val="0062005B"/>
    <w:rsid w:val="00623739"/>
    <w:rsid w:val="00626352"/>
    <w:rsid w:val="00635F5A"/>
    <w:rsid w:val="00637201"/>
    <w:rsid w:val="00646337"/>
    <w:rsid w:val="00650A56"/>
    <w:rsid w:val="006516D6"/>
    <w:rsid w:val="00651B32"/>
    <w:rsid w:val="006522D2"/>
    <w:rsid w:val="00652785"/>
    <w:rsid w:val="00652EEF"/>
    <w:rsid w:val="0065378E"/>
    <w:rsid w:val="00655CD0"/>
    <w:rsid w:val="006573A9"/>
    <w:rsid w:val="006610F8"/>
    <w:rsid w:val="00662351"/>
    <w:rsid w:val="00666ABC"/>
    <w:rsid w:val="006706DE"/>
    <w:rsid w:val="006720BF"/>
    <w:rsid w:val="006741F5"/>
    <w:rsid w:val="00675232"/>
    <w:rsid w:val="0067666D"/>
    <w:rsid w:val="00677EED"/>
    <w:rsid w:val="006806DD"/>
    <w:rsid w:val="00681823"/>
    <w:rsid w:val="0068370D"/>
    <w:rsid w:val="00684DDE"/>
    <w:rsid w:val="00686E9A"/>
    <w:rsid w:val="0069688E"/>
    <w:rsid w:val="006A3B19"/>
    <w:rsid w:val="006A578D"/>
    <w:rsid w:val="006B11A4"/>
    <w:rsid w:val="006B1C47"/>
    <w:rsid w:val="006B5508"/>
    <w:rsid w:val="006C33D0"/>
    <w:rsid w:val="006C5C32"/>
    <w:rsid w:val="006C6132"/>
    <w:rsid w:val="006C62CB"/>
    <w:rsid w:val="006C7623"/>
    <w:rsid w:val="006C7B4C"/>
    <w:rsid w:val="006D0640"/>
    <w:rsid w:val="006D0FED"/>
    <w:rsid w:val="006D1954"/>
    <w:rsid w:val="006D3FB8"/>
    <w:rsid w:val="006D63C0"/>
    <w:rsid w:val="006E29D1"/>
    <w:rsid w:val="006E2B88"/>
    <w:rsid w:val="006E7B45"/>
    <w:rsid w:val="006F2579"/>
    <w:rsid w:val="006F321A"/>
    <w:rsid w:val="006F4CB9"/>
    <w:rsid w:val="006F7A73"/>
    <w:rsid w:val="00700B71"/>
    <w:rsid w:val="00700CBF"/>
    <w:rsid w:val="0070162F"/>
    <w:rsid w:val="00702ACA"/>
    <w:rsid w:val="00702AF2"/>
    <w:rsid w:val="00703D87"/>
    <w:rsid w:val="007043FF"/>
    <w:rsid w:val="0070616B"/>
    <w:rsid w:val="00706194"/>
    <w:rsid w:val="007063D2"/>
    <w:rsid w:val="007068D3"/>
    <w:rsid w:val="00706F93"/>
    <w:rsid w:val="00713010"/>
    <w:rsid w:val="007150E3"/>
    <w:rsid w:val="00715990"/>
    <w:rsid w:val="00720028"/>
    <w:rsid w:val="00720274"/>
    <w:rsid w:val="00720CC5"/>
    <w:rsid w:val="007262B4"/>
    <w:rsid w:val="00731B1F"/>
    <w:rsid w:val="00734FC9"/>
    <w:rsid w:val="00735409"/>
    <w:rsid w:val="00735976"/>
    <w:rsid w:val="00736DB6"/>
    <w:rsid w:val="00737A63"/>
    <w:rsid w:val="0074060A"/>
    <w:rsid w:val="00740CCE"/>
    <w:rsid w:val="00741EB2"/>
    <w:rsid w:val="007423B3"/>
    <w:rsid w:val="0074527A"/>
    <w:rsid w:val="0074589C"/>
    <w:rsid w:val="00746596"/>
    <w:rsid w:val="00747B85"/>
    <w:rsid w:val="0075234A"/>
    <w:rsid w:val="0075607E"/>
    <w:rsid w:val="007608FF"/>
    <w:rsid w:val="00762F02"/>
    <w:rsid w:val="00764620"/>
    <w:rsid w:val="00764823"/>
    <w:rsid w:val="007660A4"/>
    <w:rsid w:val="00766C5A"/>
    <w:rsid w:val="00767D5C"/>
    <w:rsid w:val="007715C0"/>
    <w:rsid w:val="00771950"/>
    <w:rsid w:val="00771BBA"/>
    <w:rsid w:val="00771EE6"/>
    <w:rsid w:val="00773FF7"/>
    <w:rsid w:val="00774057"/>
    <w:rsid w:val="007832BD"/>
    <w:rsid w:val="00791814"/>
    <w:rsid w:val="0079292B"/>
    <w:rsid w:val="00792B67"/>
    <w:rsid w:val="00793A48"/>
    <w:rsid w:val="00794C44"/>
    <w:rsid w:val="00795E8D"/>
    <w:rsid w:val="00797F3C"/>
    <w:rsid w:val="007A29CF"/>
    <w:rsid w:val="007B1204"/>
    <w:rsid w:val="007C7A0B"/>
    <w:rsid w:val="007D2DA1"/>
    <w:rsid w:val="007D7186"/>
    <w:rsid w:val="007D7374"/>
    <w:rsid w:val="007E2839"/>
    <w:rsid w:val="007E2CCB"/>
    <w:rsid w:val="007E32A4"/>
    <w:rsid w:val="007E3E28"/>
    <w:rsid w:val="007E58DC"/>
    <w:rsid w:val="007E5CD1"/>
    <w:rsid w:val="007E6218"/>
    <w:rsid w:val="007E67F6"/>
    <w:rsid w:val="007F0E9E"/>
    <w:rsid w:val="007F39C3"/>
    <w:rsid w:val="007F5734"/>
    <w:rsid w:val="00800A7F"/>
    <w:rsid w:val="00800A91"/>
    <w:rsid w:val="008013B6"/>
    <w:rsid w:val="008022E1"/>
    <w:rsid w:val="0080440B"/>
    <w:rsid w:val="00804C48"/>
    <w:rsid w:val="0080548A"/>
    <w:rsid w:val="00805C00"/>
    <w:rsid w:val="0080705A"/>
    <w:rsid w:val="00807AAC"/>
    <w:rsid w:val="008107FE"/>
    <w:rsid w:val="00810FE4"/>
    <w:rsid w:val="00811CE4"/>
    <w:rsid w:val="00815EFD"/>
    <w:rsid w:val="008179CC"/>
    <w:rsid w:val="00817A76"/>
    <w:rsid w:val="00817DCF"/>
    <w:rsid w:val="00817FB0"/>
    <w:rsid w:val="00822E04"/>
    <w:rsid w:val="00830780"/>
    <w:rsid w:val="00834750"/>
    <w:rsid w:val="00834F85"/>
    <w:rsid w:val="0084053D"/>
    <w:rsid w:val="00841F05"/>
    <w:rsid w:val="00841FAF"/>
    <w:rsid w:val="008429F0"/>
    <w:rsid w:val="00845960"/>
    <w:rsid w:val="00846CE6"/>
    <w:rsid w:val="00847D95"/>
    <w:rsid w:val="00850917"/>
    <w:rsid w:val="0085156B"/>
    <w:rsid w:val="00852B47"/>
    <w:rsid w:val="0085373D"/>
    <w:rsid w:val="008541C8"/>
    <w:rsid w:val="00854837"/>
    <w:rsid w:val="008573C8"/>
    <w:rsid w:val="008616EF"/>
    <w:rsid w:val="0086230E"/>
    <w:rsid w:val="008638FF"/>
    <w:rsid w:val="008664A9"/>
    <w:rsid w:val="008665FC"/>
    <w:rsid w:val="008679D5"/>
    <w:rsid w:val="00872C5C"/>
    <w:rsid w:val="008753EF"/>
    <w:rsid w:val="00881854"/>
    <w:rsid w:val="00882360"/>
    <w:rsid w:val="00882814"/>
    <w:rsid w:val="008829FC"/>
    <w:rsid w:val="00885BFA"/>
    <w:rsid w:val="00885EB6"/>
    <w:rsid w:val="008861D4"/>
    <w:rsid w:val="00887910"/>
    <w:rsid w:val="008903C0"/>
    <w:rsid w:val="00890A97"/>
    <w:rsid w:val="00893497"/>
    <w:rsid w:val="008946C4"/>
    <w:rsid w:val="008947AE"/>
    <w:rsid w:val="00894C77"/>
    <w:rsid w:val="00895348"/>
    <w:rsid w:val="0089642E"/>
    <w:rsid w:val="008968E9"/>
    <w:rsid w:val="008A27BC"/>
    <w:rsid w:val="008A313B"/>
    <w:rsid w:val="008A35A2"/>
    <w:rsid w:val="008A3B50"/>
    <w:rsid w:val="008A60EE"/>
    <w:rsid w:val="008A66D7"/>
    <w:rsid w:val="008A6E93"/>
    <w:rsid w:val="008A7BFE"/>
    <w:rsid w:val="008B0F85"/>
    <w:rsid w:val="008B1A01"/>
    <w:rsid w:val="008B2A61"/>
    <w:rsid w:val="008B6620"/>
    <w:rsid w:val="008B773C"/>
    <w:rsid w:val="008B7D0D"/>
    <w:rsid w:val="008C23F4"/>
    <w:rsid w:val="008C3776"/>
    <w:rsid w:val="008C4FBC"/>
    <w:rsid w:val="008D34DC"/>
    <w:rsid w:val="008D4857"/>
    <w:rsid w:val="008D7798"/>
    <w:rsid w:val="008E08F6"/>
    <w:rsid w:val="008E0D37"/>
    <w:rsid w:val="008E2059"/>
    <w:rsid w:val="008E611E"/>
    <w:rsid w:val="008E6CE3"/>
    <w:rsid w:val="008E78FF"/>
    <w:rsid w:val="008F0EEB"/>
    <w:rsid w:val="008F154E"/>
    <w:rsid w:val="008F2ACD"/>
    <w:rsid w:val="008F36B1"/>
    <w:rsid w:val="0090189C"/>
    <w:rsid w:val="00902A37"/>
    <w:rsid w:val="00903A6C"/>
    <w:rsid w:val="00907F78"/>
    <w:rsid w:val="00912456"/>
    <w:rsid w:val="00912BB5"/>
    <w:rsid w:val="00913415"/>
    <w:rsid w:val="009200DF"/>
    <w:rsid w:val="0092215C"/>
    <w:rsid w:val="009231BD"/>
    <w:rsid w:val="00925434"/>
    <w:rsid w:val="00933270"/>
    <w:rsid w:val="00935DC6"/>
    <w:rsid w:val="0093649E"/>
    <w:rsid w:val="00937024"/>
    <w:rsid w:val="009370D9"/>
    <w:rsid w:val="00937308"/>
    <w:rsid w:val="00940098"/>
    <w:rsid w:val="00940DB8"/>
    <w:rsid w:val="00941ACF"/>
    <w:rsid w:val="00942188"/>
    <w:rsid w:val="009422D0"/>
    <w:rsid w:val="00942AF0"/>
    <w:rsid w:val="00943DC1"/>
    <w:rsid w:val="00944087"/>
    <w:rsid w:val="00945F77"/>
    <w:rsid w:val="00946868"/>
    <w:rsid w:val="00957AD6"/>
    <w:rsid w:val="009635A6"/>
    <w:rsid w:val="00963AA4"/>
    <w:rsid w:val="00965638"/>
    <w:rsid w:val="009700F4"/>
    <w:rsid w:val="00971299"/>
    <w:rsid w:val="0097215B"/>
    <w:rsid w:val="00980080"/>
    <w:rsid w:val="0098374E"/>
    <w:rsid w:val="0098418E"/>
    <w:rsid w:val="009872E6"/>
    <w:rsid w:val="00987AAA"/>
    <w:rsid w:val="0099442A"/>
    <w:rsid w:val="00994796"/>
    <w:rsid w:val="009948A7"/>
    <w:rsid w:val="009A30C6"/>
    <w:rsid w:val="009A3EE3"/>
    <w:rsid w:val="009A43CD"/>
    <w:rsid w:val="009A442B"/>
    <w:rsid w:val="009A4551"/>
    <w:rsid w:val="009A49F3"/>
    <w:rsid w:val="009A52A0"/>
    <w:rsid w:val="009A687E"/>
    <w:rsid w:val="009B03BB"/>
    <w:rsid w:val="009B2DE1"/>
    <w:rsid w:val="009B7C37"/>
    <w:rsid w:val="009C24C5"/>
    <w:rsid w:val="009C3B2A"/>
    <w:rsid w:val="009C40AD"/>
    <w:rsid w:val="009C5276"/>
    <w:rsid w:val="009C54B9"/>
    <w:rsid w:val="009C69F3"/>
    <w:rsid w:val="009C6CFB"/>
    <w:rsid w:val="009D0215"/>
    <w:rsid w:val="009D1036"/>
    <w:rsid w:val="009D181F"/>
    <w:rsid w:val="009D1BBF"/>
    <w:rsid w:val="009D3671"/>
    <w:rsid w:val="009D4151"/>
    <w:rsid w:val="009D4339"/>
    <w:rsid w:val="009D44A0"/>
    <w:rsid w:val="009D7FC7"/>
    <w:rsid w:val="009E356E"/>
    <w:rsid w:val="009E42B5"/>
    <w:rsid w:val="009F2B9A"/>
    <w:rsid w:val="009F40AF"/>
    <w:rsid w:val="00A027AD"/>
    <w:rsid w:val="00A0339E"/>
    <w:rsid w:val="00A06D46"/>
    <w:rsid w:val="00A16090"/>
    <w:rsid w:val="00A222D9"/>
    <w:rsid w:val="00A22F10"/>
    <w:rsid w:val="00A25CEC"/>
    <w:rsid w:val="00A303AF"/>
    <w:rsid w:val="00A373C1"/>
    <w:rsid w:val="00A45FD1"/>
    <w:rsid w:val="00A5025F"/>
    <w:rsid w:val="00A502D3"/>
    <w:rsid w:val="00A51C2E"/>
    <w:rsid w:val="00A53A06"/>
    <w:rsid w:val="00A5499B"/>
    <w:rsid w:val="00A56404"/>
    <w:rsid w:val="00A6022C"/>
    <w:rsid w:val="00A63088"/>
    <w:rsid w:val="00A64A58"/>
    <w:rsid w:val="00A64B16"/>
    <w:rsid w:val="00A70C3E"/>
    <w:rsid w:val="00A73950"/>
    <w:rsid w:val="00A74996"/>
    <w:rsid w:val="00A752D0"/>
    <w:rsid w:val="00A77266"/>
    <w:rsid w:val="00A8427A"/>
    <w:rsid w:val="00A84A0F"/>
    <w:rsid w:val="00A84E12"/>
    <w:rsid w:val="00A90DC3"/>
    <w:rsid w:val="00A92A7D"/>
    <w:rsid w:val="00A94349"/>
    <w:rsid w:val="00A95155"/>
    <w:rsid w:val="00A9609E"/>
    <w:rsid w:val="00A969E6"/>
    <w:rsid w:val="00AA17E9"/>
    <w:rsid w:val="00AA2787"/>
    <w:rsid w:val="00AA2EE9"/>
    <w:rsid w:val="00AA44C3"/>
    <w:rsid w:val="00AA5939"/>
    <w:rsid w:val="00AB07E5"/>
    <w:rsid w:val="00AB115B"/>
    <w:rsid w:val="00AB3DCF"/>
    <w:rsid w:val="00AC08D7"/>
    <w:rsid w:val="00AC0E33"/>
    <w:rsid w:val="00AC4B1F"/>
    <w:rsid w:val="00AC7A3B"/>
    <w:rsid w:val="00AD392C"/>
    <w:rsid w:val="00AD3AE8"/>
    <w:rsid w:val="00AD569D"/>
    <w:rsid w:val="00AD5BD5"/>
    <w:rsid w:val="00AE09CE"/>
    <w:rsid w:val="00AE27FB"/>
    <w:rsid w:val="00AE3D8F"/>
    <w:rsid w:val="00AE3E48"/>
    <w:rsid w:val="00AE4242"/>
    <w:rsid w:val="00AE44C8"/>
    <w:rsid w:val="00AE6E8A"/>
    <w:rsid w:val="00AE7913"/>
    <w:rsid w:val="00AE7C91"/>
    <w:rsid w:val="00AF01E1"/>
    <w:rsid w:val="00AF0B6D"/>
    <w:rsid w:val="00AF1125"/>
    <w:rsid w:val="00AF12D4"/>
    <w:rsid w:val="00AF34DF"/>
    <w:rsid w:val="00AF4D8D"/>
    <w:rsid w:val="00AF5A29"/>
    <w:rsid w:val="00AF6DB8"/>
    <w:rsid w:val="00AF72CD"/>
    <w:rsid w:val="00AF7FF7"/>
    <w:rsid w:val="00B00602"/>
    <w:rsid w:val="00B014F2"/>
    <w:rsid w:val="00B01947"/>
    <w:rsid w:val="00B03F10"/>
    <w:rsid w:val="00B04108"/>
    <w:rsid w:val="00B07453"/>
    <w:rsid w:val="00B10C7E"/>
    <w:rsid w:val="00B13ECC"/>
    <w:rsid w:val="00B15485"/>
    <w:rsid w:val="00B158B3"/>
    <w:rsid w:val="00B20C28"/>
    <w:rsid w:val="00B21961"/>
    <w:rsid w:val="00B21DB6"/>
    <w:rsid w:val="00B24089"/>
    <w:rsid w:val="00B24C91"/>
    <w:rsid w:val="00B26D9C"/>
    <w:rsid w:val="00B30BFE"/>
    <w:rsid w:val="00B33520"/>
    <w:rsid w:val="00B344D2"/>
    <w:rsid w:val="00B36A75"/>
    <w:rsid w:val="00B3781B"/>
    <w:rsid w:val="00B4041F"/>
    <w:rsid w:val="00B417E1"/>
    <w:rsid w:val="00B424B9"/>
    <w:rsid w:val="00B4345C"/>
    <w:rsid w:val="00B43472"/>
    <w:rsid w:val="00B52043"/>
    <w:rsid w:val="00B52465"/>
    <w:rsid w:val="00B55FDF"/>
    <w:rsid w:val="00B57CAD"/>
    <w:rsid w:val="00B60634"/>
    <w:rsid w:val="00B634A3"/>
    <w:rsid w:val="00B63F18"/>
    <w:rsid w:val="00B64484"/>
    <w:rsid w:val="00B64CF8"/>
    <w:rsid w:val="00B669BD"/>
    <w:rsid w:val="00B70EEF"/>
    <w:rsid w:val="00B72C89"/>
    <w:rsid w:val="00B734DF"/>
    <w:rsid w:val="00B751EC"/>
    <w:rsid w:val="00B759A4"/>
    <w:rsid w:val="00B804E5"/>
    <w:rsid w:val="00B83BCC"/>
    <w:rsid w:val="00B846DE"/>
    <w:rsid w:val="00B8632D"/>
    <w:rsid w:val="00B86DEF"/>
    <w:rsid w:val="00B86E6F"/>
    <w:rsid w:val="00B87CC6"/>
    <w:rsid w:val="00B90068"/>
    <w:rsid w:val="00B90EA7"/>
    <w:rsid w:val="00B91925"/>
    <w:rsid w:val="00B91F37"/>
    <w:rsid w:val="00B92E61"/>
    <w:rsid w:val="00B94EE8"/>
    <w:rsid w:val="00B95895"/>
    <w:rsid w:val="00B979C2"/>
    <w:rsid w:val="00BA57CB"/>
    <w:rsid w:val="00BB40CE"/>
    <w:rsid w:val="00BB46CB"/>
    <w:rsid w:val="00BB5FAC"/>
    <w:rsid w:val="00BB68B4"/>
    <w:rsid w:val="00BC056F"/>
    <w:rsid w:val="00BC4AEA"/>
    <w:rsid w:val="00BC5B74"/>
    <w:rsid w:val="00BC5C33"/>
    <w:rsid w:val="00BC6B4D"/>
    <w:rsid w:val="00BD2CC8"/>
    <w:rsid w:val="00BD3F77"/>
    <w:rsid w:val="00BD4481"/>
    <w:rsid w:val="00BD50C7"/>
    <w:rsid w:val="00BE0191"/>
    <w:rsid w:val="00BE31A8"/>
    <w:rsid w:val="00BE353F"/>
    <w:rsid w:val="00BF1C73"/>
    <w:rsid w:val="00BF2FD1"/>
    <w:rsid w:val="00C04F3A"/>
    <w:rsid w:val="00C057E7"/>
    <w:rsid w:val="00C07ACE"/>
    <w:rsid w:val="00C10024"/>
    <w:rsid w:val="00C10B08"/>
    <w:rsid w:val="00C10CA4"/>
    <w:rsid w:val="00C11439"/>
    <w:rsid w:val="00C13917"/>
    <w:rsid w:val="00C1567D"/>
    <w:rsid w:val="00C17BBE"/>
    <w:rsid w:val="00C20834"/>
    <w:rsid w:val="00C21488"/>
    <w:rsid w:val="00C21AC2"/>
    <w:rsid w:val="00C226A2"/>
    <w:rsid w:val="00C24055"/>
    <w:rsid w:val="00C302F0"/>
    <w:rsid w:val="00C33254"/>
    <w:rsid w:val="00C346CA"/>
    <w:rsid w:val="00C3670D"/>
    <w:rsid w:val="00C36D63"/>
    <w:rsid w:val="00C3741E"/>
    <w:rsid w:val="00C37E2B"/>
    <w:rsid w:val="00C41D8E"/>
    <w:rsid w:val="00C42D07"/>
    <w:rsid w:val="00C4586D"/>
    <w:rsid w:val="00C46206"/>
    <w:rsid w:val="00C5055B"/>
    <w:rsid w:val="00C532E1"/>
    <w:rsid w:val="00C608BD"/>
    <w:rsid w:val="00C61484"/>
    <w:rsid w:val="00C725E2"/>
    <w:rsid w:val="00C7271A"/>
    <w:rsid w:val="00C75994"/>
    <w:rsid w:val="00C75EE4"/>
    <w:rsid w:val="00C8058A"/>
    <w:rsid w:val="00C829B4"/>
    <w:rsid w:val="00C8432C"/>
    <w:rsid w:val="00C8577F"/>
    <w:rsid w:val="00C85BBE"/>
    <w:rsid w:val="00C95915"/>
    <w:rsid w:val="00C9649A"/>
    <w:rsid w:val="00C97C76"/>
    <w:rsid w:val="00CA21D6"/>
    <w:rsid w:val="00CA48F4"/>
    <w:rsid w:val="00CA4D83"/>
    <w:rsid w:val="00CB149F"/>
    <w:rsid w:val="00CB1DAE"/>
    <w:rsid w:val="00CB3509"/>
    <w:rsid w:val="00CB43A2"/>
    <w:rsid w:val="00CB7006"/>
    <w:rsid w:val="00CC1FE3"/>
    <w:rsid w:val="00CC2616"/>
    <w:rsid w:val="00CC5410"/>
    <w:rsid w:val="00CC5821"/>
    <w:rsid w:val="00CC64BD"/>
    <w:rsid w:val="00CC74D5"/>
    <w:rsid w:val="00CC7CF4"/>
    <w:rsid w:val="00CD0515"/>
    <w:rsid w:val="00CD1972"/>
    <w:rsid w:val="00CD219B"/>
    <w:rsid w:val="00CD40FB"/>
    <w:rsid w:val="00CD6612"/>
    <w:rsid w:val="00CD7E79"/>
    <w:rsid w:val="00CE0AB8"/>
    <w:rsid w:val="00CE1069"/>
    <w:rsid w:val="00CE2B45"/>
    <w:rsid w:val="00CE4759"/>
    <w:rsid w:val="00CE47DA"/>
    <w:rsid w:val="00CE48C1"/>
    <w:rsid w:val="00CE6E9A"/>
    <w:rsid w:val="00CE71E9"/>
    <w:rsid w:val="00CF2456"/>
    <w:rsid w:val="00CF3585"/>
    <w:rsid w:val="00CF4D3E"/>
    <w:rsid w:val="00D00353"/>
    <w:rsid w:val="00D00E08"/>
    <w:rsid w:val="00D034ED"/>
    <w:rsid w:val="00D0664B"/>
    <w:rsid w:val="00D175AE"/>
    <w:rsid w:val="00D23AC2"/>
    <w:rsid w:val="00D25166"/>
    <w:rsid w:val="00D25E72"/>
    <w:rsid w:val="00D26284"/>
    <w:rsid w:val="00D2693F"/>
    <w:rsid w:val="00D27ED1"/>
    <w:rsid w:val="00D30488"/>
    <w:rsid w:val="00D3155A"/>
    <w:rsid w:val="00D31768"/>
    <w:rsid w:val="00D32B21"/>
    <w:rsid w:val="00D37F8B"/>
    <w:rsid w:val="00D415E8"/>
    <w:rsid w:val="00D419DD"/>
    <w:rsid w:val="00D443B9"/>
    <w:rsid w:val="00D44B04"/>
    <w:rsid w:val="00D45DE1"/>
    <w:rsid w:val="00D50AB1"/>
    <w:rsid w:val="00D537A4"/>
    <w:rsid w:val="00D53ACE"/>
    <w:rsid w:val="00D56996"/>
    <w:rsid w:val="00D57E50"/>
    <w:rsid w:val="00D6188C"/>
    <w:rsid w:val="00D626BF"/>
    <w:rsid w:val="00D659FC"/>
    <w:rsid w:val="00D672B7"/>
    <w:rsid w:val="00D70B8C"/>
    <w:rsid w:val="00D71B73"/>
    <w:rsid w:val="00D71EB3"/>
    <w:rsid w:val="00D73F3E"/>
    <w:rsid w:val="00D80E67"/>
    <w:rsid w:val="00D83B10"/>
    <w:rsid w:val="00D85280"/>
    <w:rsid w:val="00D908CB"/>
    <w:rsid w:val="00D94380"/>
    <w:rsid w:val="00D953D0"/>
    <w:rsid w:val="00DA2399"/>
    <w:rsid w:val="00DA3B44"/>
    <w:rsid w:val="00DA4588"/>
    <w:rsid w:val="00DB2CBC"/>
    <w:rsid w:val="00DB3543"/>
    <w:rsid w:val="00DB42C6"/>
    <w:rsid w:val="00DB4510"/>
    <w:rsid w:val="00DB7BE0"/>
    <w:rsid w:val="00DC0498"/>
    <w:rsid w:val="00DC2459"/>
    <w:rsid w:val="00DC370B"/>
    <w:rsid w:val="00DC6349"/>
    <w:rsid w:val="00DC6507"/>
    <w:rsid w:val="00DD0303"/>
    <w:rsid w:val="00DD5905"/>
    <w:rsid w:val="00DE1489"/>
    <w:rsid w:val="00DE55F3"/>
    <w:rsid w:val="00DE6461"/>
    <w:rsid w:val="00DE78A2"/>
    <w:rsid w:val="00DF048A"/>
    <w:rsid w:val="00DF0F20"/>
    <w:rsid w:val="00DF4316"/>
    <w:rsid w:val="00DF5E6D"/>
    <w:rsid w:val="00E02996"/>
    <w:rsid w:val="00E040F6"/>
    <w:rsid w:val="00E053C3"/>
    <w:rsid w:val="00E057B0"/>
    <w:rsid w:val="00E05CB8"/>
    <w:rsid w:val="00E05DD2"/>
    <w:rsid w:val="00E0678D"/>
    <w:rsid w:val="00E06A76"/>
    <w:rsid w:val="00E1288E"/>
    <w:rsid w:val="00E13A77"/>
    <w:rsid w:val="00E16B54"/>
    <w:rsid w:val="00E2002B"/>
    <w:rsid w:val="00E215E8"/>
    <w:rsid w:val="00E23DB4"/>
    <w:rsid w:val="00E2663F"/>
    <w:rsid w:val="00E26CF8"/>
    <w:rsid w:val="00E32A68"/>
    <w:rsid w:val="00E334EB"/>
    <w:rsid w:val="00E351F6"/>
    <w:rsid w:val="00E357CE"/>
    <w:rsid w:val="00E416C8"/>
    <w:rsid w:val="00E451D5"/>
    <w:rsid w:val="00E45D9C"/>
    <w:rsid w:val="00E56164"/>
    <w:rsid w:val="00E56771"/>
    <w:rsid w:val="00E568CE"/>
    <w:rsid w:val="00E6087A"/>
    <w:rsid w:val="00E60DF5"/>
    <w:rsid w:val="00E645DD"/>
    <w:rsid w:val="00E64ACE"/>
    <w:rsid w:val="00E64E31"/>
    <w:rsid w:val="00E653C5"/>
    <w:rsid w:val="00E6610A"/>
    <w:rsid w:val="00E661DD"/>
    <w:rsid w:val="00E71037"/>
    <w:rsid w:val="00E731D4"/>
    <w:rsid w:val="00E75803"/>
    <w:rsid w:val="00E81702"/>
    <w:rsid w:val="00E82FB3"/>
    <w:rsid w:val="00E84028"/>
    <w:rsid w:val="00E85643"/>
    <w:rsid w:val="00E85A2E"/>
    <w:rsid w:val="00E87AA2"/>
    <w:rsid w:val="00E918F1"/>
    <w:rsid w:val="00E964CC"/>
    <w:rsid w:val="00E96898"/>
    <w:rsid w:val="00EA0AB9"/>
    <w:rsid w:val="00EA1DB4"/>
    <w:rsid w:val="00EA225E"/>
    <w:rsid w:val="00EA284F"/>
    <w:rsid w:val="00EA2B34"/>
    <w:rsid w:val="00EA2DA4"/>
    <w:rsid w:val="00EA6A71"/>
    <w:rsid w:val="00EA72AA"/>
    <w:rsid w:val="00EB1141"/>
    <w:rsid w:val="00EB1DA1"/>
    <w:rsid w:val="00EB29BB"/>
    <w:rsid w:val="00EB528B"/>
    <w:rsid w:val="00EB5FFC"/>
    <w:rsid w:val="00EB65E5"/>
    <w:rsid w:val="00EB6B98"/>
    <w:rsid w:val="00EC123F"/>
    <w:rsid w:val="00EC1B18"/>
    <w:rsid w:val="00EC1D7C"/>
    <w:rsid w:val="00EC6B97"/>
    <w:rsid w:val="00ED0829"/>
    <w:rsid w:val="00ED4D13"/>
    <w:rsid w:val="00ED576A"/>
    <w:rsid w:val="00ED6167"/>
    <w:rsid w:val="00ED6280"/>
    <w:rsid w:val="00ED7AEF"/>
    <w:rsid w:val="00EE016C"/>
    <w:rsid w:val="00EE1310"/>
    <w:rsid w:val="00EE64A6"/>
    <w:rsid w:val="00EE6BF5"/>
    <w:rsid w:val="00EE6C0B"/>
    <w:rsid w:val="00EE73E2"/>
    <w:rsid w:val="00EE769D"/>
    <w:rsid w:val="00EF22E9"/>
    <w:rsid w:val="00EF26DF"/>
    <w:rsid w:val="00EF2BAF"/>
    <w:rsid w:val="00EF4764"/>
    <w:rsid w:val="00EF4BAC"/>
    <w:rsid w:val="00EF5354"/>
    <w:rsid w:val="00EF605A"/>
    <w:rsid w:val="00EF6B6F"/>
    <w:rsid w:val="00EF7496"/>
    <w:rsid w:val="00F003DD"/>
    <w:rsid w:val="00F00DD5"/>
    <w:rsid w:val="00F00FA4"/>
    <w:rsid w:val="00F0482F"/>
    <w:rsid w:val="00F04841"/>
    <w:rsid w:val="00F06FD7"/>
    <w:rsid w:val="00F07113"/>
    <w:rsid w:val="00F07765"/>
    <w:rsid w:val="00F077EC"/>
    <w:rsid w:val="00F07C85"/>
    <w:rsid w:val="00F128E5"/>
    <w:rsid w:val="00F174E2"/>
    <w:rsid w:val="00F17EAD"/>
    <w:rsid w:val="00F203EF"/>
    <w:rsid w:val="00F216F2"/>
    <w:rsid w:val="00F22B2D"/>
    <w:rsid w:val="00F25678"/>
    <w:rsid w:val="00F263EE"/>
    <w:rsid w:val="00F32363"/>
    <w:rsid w:val="00F32BA0"/>
    <w:rsid w:val="00F33F69"/>
    <w:rsid w:val="00F36188"/>
    <w:rsid w:val="00F370FE"/>
    <w:rsid w:val="00F409D8"/>
    <w:rsid w:val="00F43C3B"/>
    <w:rsid w:val="00F446A9"/>
    <w:rsid w:val="00F51634"/>
    <w:rsid w:val="00F54871"/>
    <w:rsid w:val="00F552C9"/>
    <w:rsid w:val="00F56A11"/>
    <w:rsid w:val="00F60B1B"/>
    <w:rsid w:val="00F60EDA"/>
    <w:rsid w:val="00F61B10"/>
    <w:rsid w:val="00F61BD1"/>
    <w:rsid w:val="00F65B24"/>
    <w:rsid w:val="00F66D95"/>
    <w:rsid w:val="00F71F89"/>
    <w:rsid w:val="00F7219B"/>
    <w:rsid w:val="00F722AE"/>
    <w:rsid w:val="00F8045E"/>
    <w:rsid w:val="00F8092F"/>
    <w:rsid w:val="00F82D79"/>
    <w:rsid w:val="00F82E52"/>
    <w:rsid w:val="00F85CED"/>
    <w:rsid w:val="00F87E71"/>
    <w:rsid w:val="00F90265"/>
    <w:rsid w:val="00F90DF6"/>
    <w:rsid w:val="00F91805"/>
    <w:rsid w:val="00F96828"/>
    <w:rsid w:val="00FA0471"/>
    <w:rsid w:val="00FA0E4E"/>
    <w:rsid w:val="00FA1965"/>
    <w:rsid w:val="00FA5960"/>
    <w:rsid w:val="00FA5B67"/>
    <w:rsid w:val="00FA7EDD"/>
    <w:rsid w:val="00FB15A8"/>
    <w:rsid w:val="00FB3231"/>
    <w:rsid w:val="00FB337F"/>
    <w:rsid w:val="00FB3772"/>
    <w:rsid w:val="00FB5071"/>
    <w:rsid w:val="00FB55E8"/>
    <w:rsid w:val="00FB6764"/>
    <w:rsid w:val="00FC1EAF"/>
    <w:rsid w:val="00FC41C0"/>
    <w:rsid w:val="00FC55EF"/>
    <w:rsid w:val="00FD1170"/>
    <w:rsid w:val="00FD21DE"/>
    <w:rsid w:val="00FD3302"/>
    <w:rsid w:val="00FD586A"/>
    <w:rsid w:val="00FD6F86"/>
    <w:rsid w:val="00FE34B8"/>
    <w:rsid w:val="00FE4580"/>
    <w:rsid w:val="00FE6A2F"/>
    <w:rsid w:val="00FF3DEC"/>
    <w:rsid w:val="00FF765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AB3C68"/>
  <w15:docId w15:val="{8493E360-0A7E-47BF-8AEF-160F1E40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4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6F7A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7A73"/>
    <w:rPr>
      <w:rFonts w:ascii="Times New Roman" w:eastAsia="Times New Roman" w:hAnsi="Times New Roman" w:cs="Times New Roman"/>
      <w:b/>
      <w:bCs/>
      <w:sz w:val="24"/>
      <w:szCs w:val="24"/>
    </w:rPr>
  </w:style>
  <w:style w:type="paragraph" w:styleId="NormalWeb">
    <w:name w:val="Normal (Web)"/>
    <w:basedOn w:val="Normal"/>
    <w:uiPriority w:val="99"/>
    <w:unhideWhenUsed/>
    <w:rsid w:val="006F7A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7445"/>
    <w:rPr>
      <w:color w:val="0000FF" w:themeColor="hyperlink"/>
      <w:u w:val="single"/>
    </w:rPr>
  </w:style>
  <w:style w:type="paragraph" w:styleId="BalloonText">
    <w:name w:val="Balloon Text"/>
    <w:basedOn w:val="Normal"/>
    <w:link w:val="BalloonTextChar"/>
    <w:uiPriority w:val="99"/>
    <w:semiHidden/>
    <w:unhideWhenUsed/>
    <w:rsid w:val="00946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68"/>
    <w:rPr>
      <w:rFonts w:ascii="Tahoma" w:hAnsi="Tahoma" w:cs="Tahoma"/>
      <w:sz w:val="16"/>
      <w:szCs w:val="16"/>
    </w:rPr>
  </w:style>
  <w:style w:type="table" w:styleId="TableGrid">
    <w:name w:val="Table Grid"/>
    <w:basedOn w:val="TableNormal"/>
    <w:uiPriority w:val="59"/>
    <w:rsid w:val="00B15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semiHidden/>
    <w:unhideWhenUsed/>
    <w:rsid w:val="00A94349"/>
    <w:rPr>
      <w:i/>
      <w:iCs/>
    </w:rPr>
  </w:style>
  <w:style w:type="paragraph" w:styleId="Header">
    <w:name w:val="header"/>
    <w:basedOn w:val="Normal"/>
    <w:link w:val="HeaderChar"/>
    <w:uiPriority w:val="99"/>
    <w:unhideWhenUsed/>
    <w:rsid w:val="00804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40B"/>
  </w:style>
  <w:style w:type="paragraph" w:styleId="Footer">
    <w:name w:val="footer"/>
    <w:basedOn w:val="Normal"/>
    <w:link w:val="FooterChar"/>
    <w:uiPriority w:val="99"/>
    <w:unhideWhenUsed/>
    <w:rsid w:val="00804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40B"/>
  </w:style>
  <w:style w:type="paragraph" w:customStyle="1" w:styleId="Default">
    <w:name w:val="Default"/>
    <w:rsid w:val="00E057B0"/>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804C48"/>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804C48"/>
  </w:style>
  <w:style w:type="paragraph" w:styleId="Date">
    <w:name w:val="Date"/>
    <w:basedOn w:val="Normal"/>
    <w:next w:val="Normal"/>
    <w:link w:val="DateChar"/>
    <w:uiPriority w:val="99"/>
    <w:semiHidden/>
    <w:unhideWhenUsed/>
    <w:rsid w:val="00720274"/>
  </w:style>
  <w:style w:type="character" w:customStyle="1" w:styleId="DateChar">
    <w:name w:val="Date Char"/>
    <w:basedOn w:val="DefaultParagraphFont"/>
    <w:link w:val="Date"/>
    <w:uiPriority w:val="99"/>
    <w:semiHidden/>
    <w:rsid w:val="00720274"/>
  </w:style>
  <w:style w:type="character" w:styleId="Emphasis">
    <w:name w:val="Emphasis"/>
    <w:basedOn w:val="DefaultParagraphFont"/>
    <w:uiPriority w:val="20"/>
    <w:qFormat/>
    <w:rsid w:val="001E3706"/>
    <w:rPr>
      <w:i/>
      <w:iCs/>
    </w:rPr>
  </w:style>
  <w:style w:type="paragraph" w:styleId="ListParagraph">
    <w:name w:val="List Paragraph"/>
    <w:basedOn w:val="Normal"/>
    <w:uiPriority w:val="34"/>
    <w:qFormat/>
    <w:rsid w:val="00E1288E"/>
    <w:pPr>
      <w:ind w:left="720"/>
      <w:contextualSpacing/>
    </w:pPr>
  </w:style>
  <w:style w:type="character" w:styleId="Strong">
    <w:name w:val="Strong"/>
    <w:basedOn w:val="DefaultParagraphFont"/>
    <w:uiPriority w:val="22"/>
    <w:qFormat/>
    <w:rsid w:val="00E1288E"/>
    <w:rPr>
      <w:b/>
      <w:bCs/>
    </w:rPr>
  </w:style>
  <w:style w:type="character" w:styleId="CommentReference">
    <w:name w:val="annotation reference"/>
    <w:basedOn w:val="DefaultParagraphFont"/>
    <w:uiPriority w:val="99"/>
    <w:semiHidden/>
    <w:unhideWhenUsed/>
    <w:rsid w:val="00F65B24"/>
    <w:rPr>
      <w:sz w:val="16"/>
      <w:szCs w:val="16"/>
    </w:rPr>
  </w:style>
  <w:style w:type="paragraph" w:styleId="CommentText">
    <w:name w:val="annotation text"/>
    <w:basedOn w:val="Normal"/>
    <w:link w:val="CommentTextChar"/>
    <w:uiPriority w:val="99"/>
    <w:semiHidden/>
    <w:unhideWhenUsed/>
    <w:rsid w:val="00F65B24"/>
    <w:pPr>
      <w:spacing w:line="240" w:lineRule="auto"/>
    </w:pPr>
    <w:rPr>
      <w:sz w:val="20"/>
      <w:szCs w:val="20"/>
    </w:rPr>
  </w:style>
  <w:style w:type="character" w:customStyle="1" w:styleId="CommentTextChar">
    <w:name w:val="Comment Text Char"/>
    <w:basedOn w:val="DefaultParagraphFont"/>
    <w:link w:val="CommentText"/>
    <w:uiPriority w:val="99"/>
    <w:semiHidden/>
    <w:rsid w:val="00F65B24"/>
    <w:rPr>
      <w:sz w:val="20"/>
      <w:szCs w:val="20"/>
    </w:rPr>
  </w:style>
  <w:style w:type="paragraph" w:styleId="CommentSubject">
    <w:name w:val="annotation subject"/>
    <w:basedOn w:val="CommentText"/>
    <w:next w:val="CommentText"/>
    <w:link w:val="CommentSubjectChar"/>
    <w:uiPriority w:val="99"/>
    <w:semiHidden/>
    <w:unhideWhenUsed/>
    <w:rsid w:val="00F65B24"/>
    <w:rPr>
      <w:b/>
      <w:bCs/>
    </w:rPr>
  </w:style>
  <w:style w:type="character" w:customStyle="1" w:styleId="CommentSubjectChar">
    <w:name w:val="Comment Subject Char"/>
    <w:basedOn w:val="CommentTextChar"/>
    <w:link w:val="CommentSubject"/>
    <w:uiPriority w:val="99"/>
    <w:semiHidden/>
    <w:rsid w:val="00F65B24"/>
    <w:rPr>
      <w:b/>
      <w:bCs/>
      <w:sz w:val="20"/>
      <w:szCs w:val="20"/>
    </w:rPr>
  </w:style>
  <w:style w:type="paragraph" w:styleId="NoSpacing">
    <w:name w:val="No Spacing"/>
    <w:uiPriority w:val="1"/>
    <w:qFormat/>
    <w:rsid w:val="00072C29"/>
    <w:pPr>
      <w:spacing w:after="0" w:line="240" w:lineRule="auto"/>
      <w:jc w:val="both"/>
    </w:pPr>
    <w:rPr>
      <w:rFonts w:ascii="Times New Roman" w:eastAsia="Times New Roman" w:hAnsi="Times New Roman" w:cs="Times New Roman"/>
      <w:sz w:val="24"/>
      <w:szCs w:val="20"/>
      <w:lang w:val="en-GB" w:eastAsia="fr-FR"/>
    </w:rPr>
  </w:style>
  <w:style w:type="character" w:styleId="FollowedHyperlink">
    <w:name w:val="FollowedHyperlink"/>
    <w:basedOn w:val="DefaultParagraphFont"/>
    <w:uiPriority w:val="99"/>
    <w:semiHidden/>
    <w:unhideWhenUsed/>
    <w:rsid w:val="00575B20"/>
    <w:rPr>
      <w:color w:val="800080" w:themeColor="followedHyperlink"/>
      <w:u w:val="single"/>
    </w:rPr>
  </w:style>
  <w:style w:type="character" w:customStyle="1" w:styleId="bkciteavail">
    <w:name w:val="bk_cite_avail"/>
    <w:basedOn w:val="DefaultParagraphFont"/>
    <w:rsid w:val="00706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1367">
      <w:bodyDiv w:val="1"/>
      <w:marLeft w:val="0"/>
      <w:marRight w:val="0"/>
      <w:marTop w:val="0"/>
      <w:marBottom w:val="0"/>
      <w:divBdr>
        <w:top w:val="none" w:sz="0" w:space="0" w:color="auto"/>
        <w:left w:val="none" w:sz="0" w:space="0" w:color="auto"/>
        <w:bottom w:val="none" w:sz="0" w:space="0" w:color="auto"/>
        <w:right w:val="none" w:sz="0" w:space="0" w:color="auto"/>
      </w:divBdr>
    </w:div>
    <w:div w:id="439840522">
      <w:bodyDiv w:val="1"/>
      <w:marLeft w:val="0"/>
      <w:marRight w:val="0"/>
      <w:marTop w:val="0"/>
      <w:marBottom w:val="0"/>
      <w:divBdr>
        <w:top w:val="none" w:sz="0" w:space="0" w:color="auto"/>
        <w:left w:val="none" w:sz="0" w:space="0" w:color="auto"/>
        <w:bottom w:val="none" w:sz="0" w:space="0" w:color="auto"/>
        <w:right w:val="none" w:sz="0" w:space="0" w:color="auto"/>
      </w:divBdr>
    </w:div>
    <w:div w:id="545679669">
      <w:bodyDiv w:val="1"/>
      <w:marLeft w:val="0"/>
      <w:marRight w:val="0"/>
      <w:marTop w:val="0"/>
      <w:marBottom w:val="0"/>
      <w:divBdr>
        <w:top w:val="none" w:sz="0" w:space="0" w:color="auto"/>
        <w:left w:val="none" w:sz="0" w:space="0" w:color="auto"/>
        <w:bottom w:val="none" w:sz="0" w:space="0" w:color="auto"/>
        <w:right w:val="none" w:sz="0" w:space="0" w:color="auto"/>
      </w:divBdr>
    </w:div>
    <w:div w:id="684018910">
      <w:bodyDiv w:val="1"/>
      <w:marLeft w:val="0"/>
      <w:marRight w:val="0"/>
      <w:marTop w:val="0"/>
      <w:marBottom w:val="0"/>
      <w:divBdr>
        <w:top w:val="none" w:sz="0" w:space="0" w:color="auto"/>
        <w:left w:val="none" w:sz="0" w:space="0" w:color="auto"/>
        <w:bottom w:val="none" w:sz="0" w:space="0" w:color="auto"/>
        <w:right w:val="none" w:sz="0" w:space="0" w:color="auto"/>
      </w:divBdr>
      <w:divsChild>
        <w:div w:id="972712264">
          <w:marLeft w:val="0"/>
          <w:marRight w:val="0"/>
          <w:marTop w:val="0"/>
          <w:marBottom w:val="0"/>
          <w:divBdr>
            <w:top w:val="none" w:sz="0" w:space="0" w:color="auto"/>
            <w:left w:val="none" w:sz="0" w:space="0" w:color="auto"/>
            <w:bottom w:val="none" w:sz="0" w:space="0" w:color="auto"/>
            <w:right w:val="none" w:sz="0" w:space="0" w:color="auto"/>
          </w:divBdr>
        </w:div>
      </w:divsChild>
    </w:div>
    <w:div w:id="857544629">
      <w:bodyDiv w:val="1"/>
      <w:marLeft w:val="0"/>
      <w:marRight w:val="0"/>
      <w:marTop w:val="0"/>
      <w:marBottom w:val="0"/>
      <w:divBdr>
        <w:top w:val="none" w:sz="0" w:space="0" w:color="auto"/>
        <w:left w:val="none" w:sz="0" w:space="0" w:color="auto"/>
        <w:bottom w:val="none" w:sz="0" w:space="0" w:color="auto"/>
        <w:right w:val="none" w:sz="0" w:space="0" w:color="auto"/>
      </w:divBdr>
      <w:divsChild>
        <w:div w:id="153036864">
          <w:marLeft w:val="0"/>
          <w:marRight w:val="0"/>
          <w:marTop w:val="0"/>
          <w:marBottom w:val="0"/>
          <w:divBdr>
            <w:top w:val="none" w:sz="0" w:space="0" w:color="auto"/>
            <w:left w:val="none" w:sz="0" w:space="0" w:color="auto"/>
            <w:bottom w:val="none" w:sz="0" w:space="0" w:color="auto"/>
            <w:right w:val="none" w:sz="0" w:space="0" w:color="auto"/>
          </w:divBdr>
          <w:divsChild>
            <w:div w:id="2009942161">
              <w:marLeft w:val="0"/>
              <w:marRight w:val="0"/>
              <w:marTop w:val="0"/>
              <w:marBottom w:val="0"/>
              <w:divBdr>
                <w:top w:val="none" w:sz="0" w:space="0" w:color="auto"/>
                <w:left w:val="none" w:sz="0" w:space="0" w:color="auto"/>
                <w:bottom w:val="none" w:sz="0" w:space="0" w:color="auto"/>
                <w:right w:val="none" w:sz="0" w:space="0" w:color="auto"/>
              </w:divBdr>
              <w:divsChild>
                <w:div w:id="1392533660">
                  <w:marLeft w:val="0"/>
                  <w:marRight w:val="0"/>
                  <w:marTop w:val="0"/>
                  <w:marBottom w:val="0"/>
                  <w:divBdr>
                    <w:top w:val="none" w:sz="0" w:space="0" w:color="auto"/>
                    <w:left w:val="none" w:sz="0" w:space="0" w:color="auto"/>
                    <w:bottom w:val="none" w:sz="0" w:space="0" w:color="auto"/>
                    <w:right w:val="none" w:sz="0" w:space="0" w:color="auto"/>
                  </w:divBdr>
                  <w:divsChild>
                    <w:div w:id="958072871">
                      <w:marLeft w:val="0"/>
                      <w:marRight w:val="0"/>
                      <w:marTop w:val="0"/>
                      <w:marBottom w:val="0"/>
                      <w:divBdr>
                        <w:top w:val="none" w:sz="0" w:space="0" w:color="auto"/>
                        <w:left w:val="none" w:sz="0" w:space="0" w:color="auto"/>
                        <w:bottom w:val="none" w:sz="0" w:space="0" w:color="auto"/>
                        <w:right w:val="none" w:sz="0" w:space="0" w:color="auto"/>
                      </w:divBdr>
                      <w:divsChild>
                        <w:div w:id="34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22862">
      <w:bodyDiv w:val="1"/>
      <w:marLeft w:val="0"/>
      <w:marRight w:val="0"/>
      <w:marTop w:val="0"/>
      <w:marBottom w:val="0"/>
      <w:divBdr>
        <w:top w:val="none" w:sz="0" w:space="0" w:color="auto"/>
        <w:left w:val="none" w:sz="0" w:space="0" w:color="auto"/>
        <w:bottom w:val="none" w:sz="0" w:space="0" w:color="auto"/>
        <w:right w:val="none" w:sz="0" w:space="0" w:color="auto"/>
      </w:divBdr>
    </w:div>
    <w:div w:id="1017998589">
      <w:bodyDiv w:val="1"/>
      <w:marLeft w:val="0"/>
      <w:marRight w:val="0"/>
      <w:marTop w:val="0"/>
      <w:marBottom w:val="0"/>
      <w:divBdr>
        <w:top w:val="none" w:sz="0" w:space="0" w:color="auto"/>
        <w:left w:val="none" w:sz="0" w:space="0" w:color="auto"/>
        <w:bottom w:val="none" w:sz="0" w:space="0" w:color="auto"/>
        <w:right w:val="none" w:sz="0" w:space="0" w:color="auto"/>
      </w:divBdr>
      <w:divsChild>
        <w:div w:id="554439426">
          <w:marLeft w:val="0"/>
          <w:marRight w:val="0"/>
          <w:marTop w:val="0"/>
          <w:marBottom w:val="105"/>
          <w:divBdr>
            <w:top w:val="none" w:sz="0" w:space="0" w:color="auto"/>
            <w:left w:val="none" w:sz="0" w:space="0" w:color="auto"/>
            <w:bottom w:val="none" w:sz="0" w:space="0" w:color="auto"/>
            <w:right w:val="none" w:sz="0" w:space="0" w:color="auto"/>
          </w:divBdr>
        </w:div>
      </w:divsChild>
    </w:div>
    <w:div w:id="1084379052">
      <w:bodyDiv w:val="1"/>
      <w:marLeft w:val="0"/>
      <w:marRight w:val="0"/>
      <w:marTop w:val="0"/>
      <w:marBottom w:val="0"/>
      <w:divBdr>
        <w:top w:val="none" w:sz="0" w:space="0" w:color="auto"/>
        <w:left w:val="none" w:sz="0" w:space="0" w:color="auto"/>
        <w:bottom w:val="none" w:sz="0" w:space="0" w:color="auto"/>
        <w:right w:val="none" w:sz="0" w:space="0" w:color="auto"/>
      </w:divBdr>
    </w:div>
    <w:div w:id="1142624881">
      <w:bodyDiv w:val="1"/>
      <w:marLeft w:val="0"/>
      <w:marRight w:val="0"/>
      <w:marTop w:val="0"/>
      <w:marBottom w:val="0"/>
      <w:divBdr>
        <w:top w:val="none" w:sz="0" w:space="0" w:color="auto"/>
        <w:left w:val="none" w:sz="0" w:space="0" w:color="auto"/>
        <w:bottom w:val="none" w:sz="0" w:space="0" w:color="auto"/>
        <w:right w:val="none" w:sz="0" w:space="0" w:color="auto"/>
      </w:divBdr>
      <w:divsChild>
        <w:div w:id="848714296">
          <w:marLeft w:val="0"/>
          <w:marRight w:val="0"/>
          <w:marTop w:val="0"/>
          <w:marBottom w:val="0"/>
          <w:divBdr>
            <w:top w:val="none" w:sz="0" w:space="0" w:color="auto"/>
            <w:left w:val="none" w:sz="0" w:space="0" w:color="auto"/>
            <w:bottom w:val="none" w:sz="0" w:space="0" w:color="auto"/>
            <w:right w:val="none" w:sz="0" w:space="0" w:color="auto"/>
          </w:divBdr>
        </w:div>
      </w:divsChild>
    </w:div>
    <w:div w:id="1154030993">
      <w:bodyDiv w:val="1"/>
      <w:marLeft w:val="0"/>
      <w:marRight w:val="0"/>
      <w:marTop w:val="0"/>
      <w:marBottom w:val="0"/>
      <w:divBdr>
        <w:top w:val="none" w:sz="0" w:space="0" w:color="auto"/>
        <w:left w:val="none" w:sz="0" w:space="0" w:color="auto"/>
        <w:bottom w:val="none" w:sz="0" w:space="0" w:color="auto"/>
        <w:right w:val="none" w:sz="0" w:space="0" w:color="auto"/>
      </w:divBdr>
    </w:div>
    <w:div w:id="1238829108">
      <w:bodyDiv w:val="1"/>
      <w:marLeft w:val="0"/>
      <w:marRight w:val="0"/>
      <w:marTop w:val="0"/>
      <w:marBottom w:val="0"/>
      <w:divBdr>
        <w:top w:val="none" w:sz="0" w:space="0" w:color="auto"/>
        <w:left w:val="none" w:sz="0" w:space="0" w:color="auto"/>
        <w:bottom w:val="none" w:sz="0" w:space="0" w:color="auto"/>
        <w:right w:val="none" w:sz="0" w:space="0" w:color="auto"/>
      </w:divBdr>
    </w:div>
    <w:div w:id="1354843165">
      <w:bodyDiv w:val="1"/>
      <w:marLeft w:val="0"/>
      <w:marRight w:val="0"/>
      <w:marTop w:val="0"/>
      <w:marBottom w:val="0"/>
      <w:divBdr>
        <w:top w:val="none" w:sz="0" w:space="0" w:color="auto"/>
        <w:left w:val="none" w:sz="0" w:space="0" w:color="auto"/>
        <w:bottom w:val="none" w:sz="0" w:space="0" w:color="auto"/>
        <w:right w:val="none" w:sz="0" w:space="0" w:color="auto"/>
      </w:divBdr>
    </w:div>
    <w:div w:id="1363553704">
      <w:bodyDiv w:val="1"/>
      <w:marLeft w:val="0"/>
      <w:marRight w:val="0"/>
      <w:marTop w:val="0"/>
      <w:marBottom w:val="0"/>
      <w:divBdr>
        <w:top w:val="none" w:sz="0" w:space="0" w:color="auto"/>
        <w:left w:val="none" w:sz="0" w:space="0" w:color="auto"/>
        <w:bottom w:val="none" w:sz="0" w:space="0" w:color="auto"/>
        <w:right w:val="none" w:sz="0" w:space="0" w:color="auto"/>
      </w:divBdr>
    </w:div>
    <w:div w:id="1649553726">
      <w:bodyDiv w:val="1"/>
      <w:marLeft w:val="0"/>
      <w:marRight w:val="0"/>
      <w:marTop w:val="0"/>
      <w:marBottom w:val="0"/>
      <w:divBdr>
        <w:top w:val="none" w:sz="0" w:space="0" w:color="auto"/>
        <w:left w:val="none" w:sz="0" w:space="0" w:color="auto"/>
        <w:bottom w:val="none" w:sz="0" w:space="0" w:color="auto"/>
        <w:right w:val="none" w:sz="0" w:space="0" w:color="auto"/>
      </w:divBdr>
    </w:div>
    <w:div w:id="16800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image" Target="media/image5.emf"/><Relationship Id="rId18" Type="http://schemas.openxmlformats.org/officeDocument/2006/relationships/hyperlink" Target="http://www.nice.org.uk/niceMedia/pdf/health_inequalities_policy_graham.pdf" TargetMode="External"/><Relationship Id="rId26" Type="http://schemas.openxmlformats.org/officeDocument/2006/relationships/hyperlink" Target="http://www.euro.who.int/__data/assets/pdf_file/0005/98438/e81384.pdf" TargetMode="External"/><Relationship Id="rId3" Type="http://schemas.openxmlformats.org/officeDocument/2006/relationships/styles" Target="styles.xml"/><Relationship Id="rId21" Type="http://schemas.openxmlformats.org/officeDocument/2006/relationships/hyperlink" Target="http://www.statistics.gov.uk/StatBase/Product.asp?vlnk=12964"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www.dh.gov.uk/en/Publicationsandstatistics/Publications/PublicationsPolicyAndGuidance/DH_134487" TargetMode="External"/><Relationship Id="rId25" Type="http://schemas.openxmlformats.org/officeDocument/2006/relationships/hyperlink" Target="http://www.who.int/about/definition/en/print.html" TargetMode="External"/><Relationship Id="rId2" Type="http://schemas.openxmlformats.org/officeDocument/2006/relationships/numbering" Target="numbering.xml"/><Relationship Id="rId16" Type="http://schemas.openxmlformats.org/officeDocument/2006/relationships/hyperlink" Target="http://www.actiononhearingloss.org.uk/your-hearing/about-deafness-and-hearing-loss/statistics.aspx" TargetMode="External"/><Relationship Id="rId20" Type="http://schemas.openxmlformats.org/officeDocument/2006/relationships/hyperlink" Target="http://www.ons.gov.uk/ons/...life-expectancy.../trends-in-life-expectancy-by-t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www.haringey.gov.uk/tottenham_green_profile.pdf"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pssru.ac.uk/pdf/DP2880-3.pdf%20"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marmotreview.org/"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ons.gov.uk/about/who-we-are/our-services/longitudinal-study"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4EE0-3CE1-4B01-BB1B-25FB6FBF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8412</Words>
  <Characters>47954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Statistics</dc:creator>
  <cp:lastModifiedBy>Hafiz Khan</cp:lastModifiedBy>
  <cp:revision>3</cp:revision>
  <dcterms:created xsi:type="dcterms:W3CDTF">2017-06-11T06:55:00Z</dcterms:created>
  <dcterms:modified xsi:type="dcterms:W3CDTF">2017-06-11T06:56:00Z</dcterms:modified>
</cp:coreProperties>
</file>