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90" w:rsidRDefault="0003714D" w:rsidP="00ED5A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Conference submission: </w:t>
      </w:r>
      <w:bookmarkStart w:id="0" w:name="_GoBack"/>
      <w:bookmarkEnd w:id="0"/>
      <w:r w:rsidR="00FA3AC5" w:rsidRPr="006C7BC5">
        <w:rPr>
          <w:rFonts w:ascii="Arial" w:hAnsi="Arial" w:cs="Arial"/>
          <w:b/>
          <w:sz w:val="24"/>
          <w:szCs w:val="24"/>
        </w:rPr>
        <w:t>Lecturer as Employer: busting the myths</w:t>
      </w:r>
    </w:p>
    <w:p w:rsidR="00ED5A90" w:rsidRDefault="00FA3AC5" w:rsidP="00ED5A90">
      <w:pPr>
        <w:jc w:val="both"/>
        <w:rPr>
          <w:rFonts w:ascii="Arial" w:hAnsi="Arial" w:cs="Arial"/>
          <w:sz w:val="24"/>
          <w:szCs w:val="24"/>
        </w:rPr>
      </w:pPr>
      <w:r w:rsidRPr="00FA3AC5">
        <w:rPr>
          <w:rFonts w:ascii="Arial" w:hAnsi="Arial" w:cs="Arial"/>
          <w:sz w:val="24"/>
          <w:szCs w:val="24"/>
        </w:rPr>
        <w:t>A</w:t>
      </w:r>
      <w:r w:rsidR="00ED5A90">
        <w:rPr>
          <w:rFonts w:ascii="Arial" w:hAnsi="Arial" w:cs="Arial"/>
          <w:sz w:val="24"/>
          <w:szCs w:val="24"/>
        </w:rPr>
        <w:t xml:space="preserve"> high proportion of UWL lecturers</w:t>
      </w:r>
      <w:r w:rsidRPr="00FA3AC5">
        <w:rPr>
          <w:rFonts w:ascii="Arial" w:hAnsi="Arial" w:cs="Arial"/>
          <w:sz w:val="24"/>
          <w:szCs w:val="24"/>
        </w:rPr>
        <w:t xml:space="preserve"> have acted, and continue to practice as employers. Conducting job interviews, line-managing staff, leading teams and negotiating are experiences lecturers bring from professional practice in areas where their students will be seeking employment. </w:t>
      </w:r>
    </w:p>
    <w:p w:rsidR="00ED5A90" w:rsidRDefault="00FA3AC5" w:rsidP="00ED5A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3AC5">
        <w:rPr>
          <w:rFonts w:ascii="Arial" w:hAnsi="Arial" w:cs="Arial"/>
          <w:sz w:val="24"/>
          <w:szCs w:val="24"/>
        </w:rPr>
        <w:t>How can lecturers' experience as employers be transferred to higher education teaching and curriculums? And what transferable skills in our students do we aim to foster as a result of our 'coal-face' working?</w:t>
      </w:r>
    </w:p>
    <w:p w:rsidR="00ED5A90" w:rsidRDefault="00FA3AC5" w:rsidP="00ED5A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3AC5">
        <w:rPr>
          <w:rFonts w:ascii="Arial" w:hAnsi="Arial" w:cs="Arial"/>
          <w:sz w:val="24"/>
          <w:szCs w:val="24"/>
        </w:rPr>
        <w:t xml:space="preserve">This presentation discusses three student interviewer-interviewee exercises, based on lecturer workplace experiences and 'active learning' principles. </w:t>
      </w:r>
      <w:r w:rsidR="00865642">
        <w:rPr>
          <w:rFonts w:ascii="Arial" w:hAnsi="Arial" w:cs="Arial"/>
          <w:sz w:val="24"/>
          <w:szCs w:val="24"/>
        </w:rPr>
        <w:t>The exe</w:t>
      </w:r>
      <w:r w:rsidR="009B42B1">
        <w:rPr>
          <w:rFonts w:ascii="Arial" w:hAnsi="Arial" w:cs="Arial"/>
          <w:sz w:val="24"/>
          <w:szCs w:val="24"/>
        </w:rPr>
        <w:t>rcises do not require lecturers</w:t>
      </w:r>
      <w:r w:rsidR="00865642">
        <w:rPr>
          <w:rFonts w:ascii="Arial" w:hAnsi="Arial" w:cs="Arial"/>
          <w:sz w:val="24"/>
          <w:szCs w:val="24"/>
        </w:rPr>
        <w:t xml:space="preserve"> to have experience as an employer, but they are based on </w:t>
      </w:r>
      <w:r w:rsidR="00F87B0C">
        <w:rPr>
          <w:rFonts w:ascii="Arial" w:hAnsi="Arial" w:cs="Arial"/>
          <w:sz w:val="24"/>
          <w:szCs w:val="24"/>
        </w:rPr>
        <w:t xml:space="preserve">workplace observations. </w:t>
      </w:r>
    </w:p>
    <w:p w:rsidR="00ED5A90" w:rsidRDefault="00957026" w:rsidP="00ED5A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set the scene, </w:t>
      </w:r>
      <w:r w:rsidR="00865642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lecturer as employer</w:t>
      </w:r>
      <w:r w:rsidR="0086564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experiences will be discussed and questions of maintaining professional registration</w:t>
      </w:r>
      <w:r w:rsidR="00865642">
        <w:rPr>
          <w:rFonts w:ascii="Arial" w:hAnsi="Arial" w:cs="Arial"/>
          <w:sz w:val="24"/>
          <w:szCs w:val="24"/>
        </w:rPr>
        <w:t>, accreditation</w:t>
      </w:r>
      <w:r w:rsidR="00F87B0C">
        <w:rPr>
          <w:rFonts w:ascii="Arial" w:hAnsi="Arial" w:cs="Arial"/>
          <w:sz w:val="24"/>
          <w:szCs w:val="24"/>
        </w:rPr>
        <w:t xml:space="preserve"> and</w:t>
      </w:r>
      <w:r w:rsidR="00865642">
        <w:rPr>
          <w:rFonts w:ascii="Arial" w:hAnsi="Arial" w:cs="Arial"/>
          <w:sz w:val="24"/>
          <w:szCs w:val="24"/>
        </w:rPr>
        <w:t xml:space="preserve"> networking will be considered</w:t>
      </w:r>
      <w:r w:rsidR="00F87B0C">
        <w:rPr>
          <w:rFonts w:ascii="Arial" w:hAnsi="Arial" w:cs="Arial"/>
          <w:sz w:val="24"/>
          <w:szCs w:val="24"/>
        </w:rPr>
        <w:t>,</w:t>
      </w:r>
      <w:r w:rsidR="00865642">
        <w:rPr>
          <w:rFonts w:ascii="Arial" w:hAnsi="Arial" w:cs="Arial"/>
          <w:sz w:val="24"/>
          <w:szCs w:val="24"/>
        </w:rPr>
        <w:t xml:space="preserve"> from a ‘communities of practice’ perspective. </w:t>
      </w:r>
    </w:p>
    <w:p w:rsidR="00957026" w:rsidRDefault="00F87B0C" w:rsidP="00ED5A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myth of the remote </w:t>
      </w:r>
      <w:r w:rsidR="00B763BC">
        <w:rPr>
          <w:rFonts w:ascii="Arial" w:hAnsi="Arial" w:cs="Arial"/>
          <w:sz w:val="24"/>
          <w:szCs w:val="24"/>
        </w:rPr>
        <w:t xml:space="preserve">employer, distanced </w:t>
      </w:r>
      <w:r>
        <w:rPr>
          <w:rFonts w:ascii="Arial" w:hAnsi="Arial" w:cs="Arial"/>
          <w:sz w:val="24"/>
          <w:szCs w:val="24"/>
        </w:rPr>
        <w:t xml:space="preserve">from </w:t>
      </w:r>
      <w:r w:rsidR="007710F9">
        <w:rPr>
          <w:rFonts w:ascii="Arial" w:hAnsi="Arial" w:cs="Arial"/>
          <w:sz w:val="24"/>
          <w:szCs w:val="24"/>
        </w:rPr>
        <w:t>an</w:t>
      </w:r>
      <w:r w:rsidR="00ED5A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academic </w:t>
      </w:r>
      <w:r w:rsidR="00ED5A90">
        <w:rPr>
          <w:rFonts w:ascii="Arial" w:hAnsi="Arial" w:cs="Arial"/>
          <w:sz w:val="24"/>
          <w:szCs w:val="24"/>
        </w:rPr>
        <w:t>ivory tower</w:t>
      </w:r>
      <w:r w:rsidR="00B763BC">
        <w:rPr>
          <w:rFonts w:ascii="Arial" w:hAnsi="Arial" w:cs="Arial"/>
          <w:sz w:val="24"/>
          <w:szCs w:val="24"/>
        </w:rPr>
        <w:t>,</w:t>
      </w:r>
      <w:r w:rsidR="00ED5A90">
        <w:rPr>
          <w:rFonts w:ascii="Arial" w:hAnsi="Arial" w:cs="Arial"/>
          <w:sz w:val="24"/>
          <w:szCs w:val="24"/>
        </w:rPr>
        <w:t xml:space="preserve"> will be considered. A</w:t>
      </w:r>
      <w:r>
        <w:rPr>
          <w:rFonts w:ascii="Arial" w:hAnsi="Arial" w:cs="Arial"/>
          <w:sz w:val="24"/>
          <w:szCs w:val="24"/>
        </w:rPr>
        <w:t xml:space="preserve">n example of </w:t>
      </w:r>
      <w:r w:rsidR="00ED5A90">
        <w:rPr>
          <w:rFonts w:ascii="Arial" w:hAnsi="Arial" w:cs="Arial"/>
          <w:sz w:val="24"/>
          <w:szCs w:val="24"/>
        </w:rPr>
        <w:t>a contentious debate within</w:t>
      </w:r>
      <w:r>
        <w:rPr>
          <w:rFonts w:ascii="Arial" w:hAnsi="Arial" w:cs="Arial"/>
          <w:sz w:val="24"/>
          <w:szCs w:val="24"/>
        </w:rPr>
        <w:t xml:space="preserve"> employers’ understanding of their needs</w:t>
      </w:r>
      <w:r w:rsidR="00ED5A90">
        <w:rPr>
          <w:rFonts w:ascii="Arial" w:hAnsi="Arial" w:cs="Arial"/>
          <w:sz w:val="24"/>
          <w:szCs w:val="24"/>
        </w:rPr>
        <w:t>, linked to</w:t>
      </w:r>
      <w:r>
        <w:rPr>
          <w:rFonts w:ascii="Arial" w:hAnsi="Arial" w:cs="Arial"/>
          <w:sz w:val="24"/>
          <w:szCs w:val="24"/>
        </w:rPr>
        <w:t xml:space="preserve"> changing </w:t>
      </w:r>
      <w:r w:rsidR="00ED5A90">
        <w:rPr>
          <w:rFonts w:ascii="Arial" w:hAnsi="Arial" w:cs="Arial"/>
          <w:sz w:val="24"/>
          <w:szCs w:val="24"/>
        </w:rPr>
        <w:t xml:space="preserve">work </w:t>
      </w:r>
      <w:r>
        <w:rPr>
          <w:rFonts w:ascii="Arial" w:hAnsi="Arial" w:cs="Arial"/>
          <w:sz w:val="24"/>
          <w:szCs w:val="24"/>
        </w:rPr>
        <w:t>environment</w:t>
      </w:r>
      <w:r w:rsidR="00ED5A90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</w:t>
      </w:r>
      <w:r w:rsidR="00ED5A90">
        <w:rPr>
          <w:rFonts w:ascii="Arial" w:hAnsi="Arial" w:cs="Arial"/>
          <w:sz w:val="24"/>
          <w:szCs w:val="24"/>
        </w:rPr>
        <w:t>is described</w:t>
      </w:r>
      <w:r>
        <w:rPr>
          <w:rFonts w:ascii="Arial" w:hAnsi="Arial" w:cs="Arial"/>
          <w:sz w:val="24"/>
          <w:szCs w:val="24"/>
        </w:rPr>
        <w:t xml:space="preserve">. The types of professions where </w:t>
      </w:r>
      <w:r w:rsidR="00B763BC">
        <w:rPr>
          <w:rFonts w:ascii="Arial" w:hAnsi="Arial" w:cs="Arial"/>
          <w:sz w:val="24"/>
          <w:szCs w:val="24"/>
        </w:rPr>
        <w:t xml:space="preserve">there </w:t>
      </w:r>
      <w:r>
        <w:rPr>
          <w:rFonts w:ascii="Arial" w:hAnsi="Arial" w:cs="Arial"/>
          <w:sz w:val="24"/>
          <w:szCs w:val="24"/>
        </w:rPr>
        <w:t xml:space="preserve">is overlap between lecturers and lectures as employers, will be touched on.  </w:t>
      </w:r>
    </w:p>
    <w:p w:rsidR="00865642" w:rsidRDefault="00FA3AC5" w:rsidP="00ED5A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3AC5">
        <w:rPr>
          <w:rFonts w:ascii="Arial" w:hAnsi="Arial" w:cs="Arial"/>
          <w:sz w:val="24"/>
          <w:szCs w:val="24"/>
        </w:rPr>
        <w:t xml:space="preserve">We will </w:t>
      </w:r>
      <w:r w:rsidR="00865642">
        <w:rPr>
          <w:rFonts w:ascii="Arial" w:hAnsi="Arial" w:cs="Arial"/>
          <w:sz w:val="24"/>
          <w:szCs w:val="24"/>
        </w:rPr>
        <w:t xml:space="preserve">conclude with a reflection on </w:t>
      </w:r>
      <w:r w:rsidRPr="00FA3AC5">
        <w:rPr>
          <w:rFonts w:ascii="Arial" w:hAnsi="Arial" w:cs="Arial"/>
          <w:sz w:val="24"/>
          <w:szCs w:val="24"/>
        </w:rPr>
        <w:t xml:space="preserve">transferable skills and curriculum planning more broadly, and finish on a note about employing students on research projects. </w:t>
      </w:r>
    </w:p>
    <w:p w:rsidR="007466FF" w:rsidRDefault="00865642" w:rsidP="00ED5A9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presenter’s </w:t>
      </w:r>
      <w:r w:rsidR="00F87B0C">
        <w:rPr>
          <w:rFonts w:ascii="Arial" w:hAnsi="Arial" w:cs="Arial"/>
          <w:sz w:val="24"/>
          <w:szCs w:val="24"/>
        </w:rPr>
        <w:t xml:space="preserve">professional and management </w:t>
      </w:r>
      <w:r>
        <w:rPr>
          <w:rFonts w:ascii="Arial" w:hAnsi="Arial" w:cs="Arial"/>
          <w:sz w:val="24"/>
          <w:szCs w:val="24"/>
        </w:rPr>
        <w:t xml:space="preserve">background is </w:t>
      </w:r>
      <w:r w:rsidR="00F87B0C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>within NHS and local authority public health, but the format will be general</w:t>
      </w:r>
      <w:r w:rsidR="00F87B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raising issues for all disciplines.</w:t>
      </w:r>
    </w:p>
    <w:p w:rsidR="00444A05" w:rsidRPr="009B42B1" w:rsidRDefault="00444A05">
      <w:pPr>
        <w:rPr>
          <w:rFonts w:ascii="Arial" w:hAnsi="Arial" w:cs="Arial"/>
          <w:b/>
          <w:sz w:val="18"/>
          <w:szCs w:val="18"/>
        </w:rPr>
      </w:pPr>
      <w:r w:rsidRPr="009B42B1">
        <w:rPr>
          <w:rFonts w:ascii="Arial" w:hAnsi="Arial" w:cs="Arial"/>
          <w:b/>
          <w:sz w:val="18"/>
          <w:szCs w:val="18"/>
        </w:rPr>
        <w:t>References</w:t>
      </w:r>
    </w:p>
    <w:p w:rsidR="000D31CB" w:rsidRPr="009B42B1" w:rsidRDefault="00E95A26" w:rsidP="00295020">
      <w:pPr>
        <w:rPr>
          <w:rFonts w:ascii="Arial" w:hAnsi="Arial" w:cs="Arial"/>
          <w:sz w:val="18"/>
          <w:szCs w:val="18"/>
        </w:rPr>
      </w:pPr>
      <w:r w:rsidRPr="009B42B1">
        <w:rPr>
          <w:rFonts w:ascii="Arial" w:hAnsi="Arial" w:cs="Arial"/>
          <w:sz w:val="18"/>
          <w:szCs w:val="18"/>
        </w:rPr>
        <w:t>Atkins, M. (1999) Ove</w:t>
      </w:r>
      <w:r w:rsidR="0034775A" w:rsidRPr="009B42B1">
        <w:rPr>
          <w:rFonts w:ascii="Arial" w:hAnsi="Arial" w:cs="Arial"/>
          <w:sz w:val="18"/>
          <w:szCs w:val="18"/>
        </w:rPr>
        <w:t xml:space="preserve">n-ready and </w:t>
      </w:r>
      <w:r w:rsidRPr="009B42B1">
        <w:rPr>
          <w:rFonts w:ascii="Arial" w:hAnsi="Arial" w:cs="Arial"/>
          <w:sz w:val="18"/>
          <w:szCs w:val="18"/>
        </w:rPr>
        <w:t>self</w:t>
      </w:r>
      <w:r w:rsidR="0034775A" w:rsidRPr="009B42B1">
        <w:rPr>
          <w:rFonts w:ascii="Arial" w:hAnsi="Arial" w:cs="Arial"/>
          <w:sz w:val="18"/>
          <w:szCs w:val="18"/>
        </w:rPr>
        <w:t xml:space="preserve">-basting: Taking stock of employability skills, </w:t>
      </w:r>
      <w:r w:rsidR="0034775A" w:rsidRPr="009B42B1">
        <w:rPr>
          <w:rFonts w:ascii="Arial" w:hAnsi="Arial" w:cs="Arial"/>
          <w:i/>
          <w:sz w:val="18"/>
          <w:szCs w:val="18"/>
        </w:rPr>
        <w:t>Teaching in Higher Education</w:t>
      </w:r>
      <w:r w:rsidR="0034775A" w:rsidRPr="009B42B1">
        <w:rPr>
          <w:rFonts w:ascii="Arial" w:hAnsi="Arial" w:cs="Arial"/>
          <w:sz w:val="18"/>
          <w:szCs w:val="18"/>
        </w:rPr>
        <w:t>, Vol 4</w:t>
      </w:r>
      <w:r w:rsidRPr="009B42B1">
        <w:rPr>
          <w:rFonts w:ascii="Arial" w:hAnsi="Arial" w:cs="Arial"/>
          <w:sz w:val="18"/>
          <w:szCs w:val="18"/>
        </w:rPr>
        <w:t>,</w:t>
      </w:r>
      <w:r w:rsidR="0034775A" w:rsidRPr="009B42B1">
        <w:rPr>
          <w:rFonts w:ascii="Arial" w:hAnsi="Arial" w:cs="Arial"/>
          <w:sz w:val="18"/>
          <w:szCs w:val="18"/>
        </w:rPr>
        <w:t xml:space="preserve"> Issue 2, p</w:t>
      </w:r>
      <w:r w:rsidRPr="009B42B1">
        <w:rPr>
          <w:rFonts w:ascii="Arial" w:hAnsi="Arial" w:cs="Arial"/>
          <w:sz w:val="18"/>
          <w:szCs w:val="18"/>
        </w:rPr>
        <w:t>267-274</w:t>
      </w:r>
      <w:r w:rsidR="00295020" w:rsidRPr="009B42B1">
        <w:rPr>
          <w:rFonts w:ascii="Arial" w:hAnsi="Arial" w:cs="Arial"/>
          <w:sz w:val="18"/>
          <w:szCs w:val="18"/>
        </w:rPr>
        <w:t>.</w:t>
      </w:r>
    </w:p>
    <w:p w:rsidR="00957026" w:rsidRPr="009B42B1" w:rsidRDefault="00957026" w:rsidP="0095702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B42B1">
        <w:rPr>
          <w:rFonts w:ascii="Arial" w:hAnsi="Arial" w:cs="Arial"/>
          <w:sz w:val="18"/>
          <w:szCs w:val="18"/>
        </w:rPr>
        <w:t>Faculty of Public Health (2016) CPD Guidance for Academics, London, FPH</w:t>
      </w:r>
      <w:r w:rsidR="00295020" w:rsidRPr="009B42B1">
        <w:rPr>
          <w:rFonts w:ascii="Arial" w:hAnsi="Arial" w:cs="Arial"/>
          <w:sz w:val="18"/>
          <w:szCs w:val="18"/>
        </w:rPr>
        <w:t>.</w:t>
      </w:r>
    </w:p>
    <w:p w:rsidR="00E95A26" w:rsidRPr="009B42B1" w:rsidRDefault="00E95A26" w:rsidP="000D31C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B42B1">
        <w:rPr>
          <w:rFonts w:ascii="Arial" w:hAnsi="Arial" w:cs="Arial"/>
          <w:sz w:val="18"/>
          <w:szCs w:val="18"/>
        </w:rPr>
        <w:t>Foley, P</w:t>
      </w:r>
      <w:r w:rsidR="00D41EAC" w:rsidRPr="009B42B1">
        <w:rPr>
          <w:rFonts w:ascii="Arial" w:hAnsi="Arial" w:cs="Arial"/>
          <w:sz w:val="18"/>
          <w:szCs w:val="18"/>
        </w:rPr>
        <w:t>.</w:t>
      </w:r>
      <w:r w:rsidRPr="009B42B1">
        <w:rPr>
          <w:rFonts w:ascii="Arial" w:hAnsi="Arial" w:cs="Arial"/>
          <w:sz w:val="18"/>
          <w:szCs w:val="18"/>
        </w:rPr>
        <w:t xml:space="preserve"> (1999) </w:t>
      </w:r>
      <w:proofErr w:type="gramStart"/>
      <w:r w:rsidRPr="009B42B1">
        <w:rPr>
          <w:rFonts w:ascii="Arial" w:hAnsi="Arial" w:cs="Arial"/>
          <w:sz w:val="18"/>
          <w:szCs w:val="18"/>
        </w:rPr>
        <w:t>Transferable</w:t>
      </w:r>
      <w:proofErr w:type="gramEnd"/>
      <w:r w:rsidRPr="009B42B1">
        <w:rPr>
          <w:rFonts w:ascii="Arial" w:hAnsi="Arial" w:cs="Arial"/>
          <w:sz w:val="18"/>
          <w:szCs w:val="18"/>
        </w:rPr>
        <w:t xml:space="preserve"> skills teaching: contextual pressures and personal dilemmas</w:t>
      </w:r>
      <w:r w:rsidR="00957026" w:rsidRPr="009B42B1">
        <w:rPr>
          <w:rFonts w:ascii="Arial" w:hAnsi="Arial" w:cs="Arial"/>
          <w:sz w:val="18"/>
          <w:szCs w:val="18"/>
        </w:rPr>
        <w:t>,</w:t>
      </w:r>
      <w:r w:rsidRPr="009B42B1">
        <w:rPr>
          <w:rFonts w:ascii="Arial" w:hAnsi="Arial" w:cs="Arial"/>
          <w:sz w:val="18"/>
          <w:szCs w:val="18"/>
        </w:rPr>
        <w:t xml:space="preserve"> </w:t>
      </w:r>
      <w:r w:rsidRPr="009B42B1">
        <w:rPr>
          <w:rFonts w:ascii="Arial" w:hAnsi="Arial" w:cs="Arial"/>
          <w:i/>
          <w:sz w:val="18"/>
          <w:szCs w:val="18"/>
        </w:rPr>
        <w:t>Teaching in Higher Education</w:t>
      </w:r>
      <w:r w:rsidRPr="009B42B1">
        <w:rPr>
          <w:rFonts w:ascii="Arial" w:hAnsi="Arial" w:cs="Arial"/>
          <w:sz w:val="18"/>
          <w:szCs w:val="18"/>
        </w:rPr>
        <w:t>, Vol 4, Issue 1, p5-21</w:t>
      </w:r>
      <w:r w:rsidR="00295020" w:rsidRPr="009B42B1">
        <w:rPr>
          <w:rFonts w:ascii="Arial" w:hAnsi="Arial" w:cs="Arial"/>
          <w:sz w:val="18"/>
          <w:szCs w:val="18"/>
        </w:rPr>
        <w:t>.</w:t>
      </w:r>
    </w:p>
    <w:p w:rsidR="00E85FFE" w:rsidRPr="009B42B1" w:rsidRDefault="00E85FFE" w:rsidP="000D31CB">
      <w:pPr>
        <w:spacing w:line="240" w:lineRule="auto"/>
        <w:rPr>
          <w:rFonts w:ascii="Arial" w:hAnsi="Arial" w:cs="Arial"/>
          <w:sz w:val="18"/>
          <w:szCs w:val="18"/>
        </w:rPr>
      </w:pPr>
      <w:r w:rsidRPr="009B42B1">
        <w:rPr>
          <w:rFonts w:ascii="Arial" w:hAnsi="Arial" w:cs="Arial"/>
          <w:sz w:val="18"/>
          <w:szCs w:val="18"/>
        </w:rPr>
        <w:t xml:space="preserve">Gibbs, G. (2015) Maximising student learning gain. In Fry, H., </w:t>
      </w:r>
      <w:proofErr w:type="spellStart"/>
      <w:r w:rsidRPr="009B42B1">
        <w:rPr>
          <w:rFonts w:ascii="Arial" w:hAnsi="Arial" w:cs="Arial"/>
          <w:sz w:val="18"/>
          <w:szCs w:val="18"/>
        </w:rPr>
        <w:t>Ketteridge</w:t>
      </w:r>
      <w:proofErr w:type="spellEnd"/>
      <w:r w:rsidRPr="009B42B1">
        <w:rPr>
          <w:rFonts w:ascii="Arial" w:hAnsi="Arial" w:cs="Arial"/>
          <w:sz w:val="18"/>
          <w:szCs w:val="18"/>
        </w:rPr>
        <w:t>, S. and Marshall. S. (eds.) (2015) (4</w:t>
      </w:r>
      <w:r w:rsidRPr="009B42B1">
        <w:rPr>
          <w:rFonts w:ascii="Arial" w:hAnsi="Arial" w:cs="Arial"/>
          <w:sz w:val="18"/>
          <w:szCs w:val="18"/>
          <w:vertAlign w:val="superscript"/>
        </w:rPr>
        <w:t>th</w:t>
      </w:r>
      <w:r w:rsidRPr="009B42B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9B42B1">
        <w:rPr>
          <w:rFonts w:ascii="Arial" w:hAnsi="Arial" w:cs="Arial"/>
          <w:sz w:val="18"/>
          <w:szCs w:val="18"/>
        </w:rPr>
        <w:t>ed</w:t>
      </w:r>
      <w:proofErr w:type="gramEnd"/>
      <w:r w:rsidRPr="009B42B1">
        <w:rPr>
          <w:rFonts w:ascii="Arial" w:hAnsi="Arial" w:cs="Arial"/>
          <w:sz w:val="18"/>
          <w:szCs w:val="18"/>
        </w:rPr>
        <w:t xml:space="preserve">.) A Handbook for Teaching and Learning in Higher Education. London: Routledge. </w:t>
      </w:r>
      <w:proofErr w:type="gramStart"/>
      <w:r w:rsidRPr="009B42B1">
        <w:rPr>
          <w:rFonts w:ascii="Arial" w:hAnsi="Arial" w:cs="Arial"/>
          <w:sz w:val="18"/>
          <w:szCs w:val="18"/>
        </w:rPr>
        <w:t>pp.193-208</w:t>
      </w:r>
      <w:proofErr w:type="gramEnd"/>
      <w:r w:rsidRPr="009B42B1">
        <w:rPr>
          <w:rFonts w:ascii="Arial" w:hAnsi="Arial" w:cs="Arial"/>
          <w:sz w:val="18"/>
          <w:szCs w:val="18"/>
        </w:rPr>
        <w:t>.</w:t>
      </w:r>
    </w:p>
    <w:p w:rsidR="007F4EEC" w:rsidRPr="009B42B1" w:rsidRDefault="007F4EEC" w:rsidP="000D31C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9B42B1">
        <w:rPr>
          <w:rFonts w:ascii="Arial" w:hAnsi="Arial" w:cs="Arial"/>
          <w:sz w:val="18"/>
          <w:szCs w:val="18"/>
        </w:rPr>
        <w:t>Ishiyama</w:t>
      </w:r>
      <w:proofErr w:type="spellEnd"/>
      <w:r w:rsidRPr="009B42B1">
        <w:rPr>
          <w:rFonts w:ascii="Arial" w:hAnsi="Arial" w:cs="Arial"/>
          <w:sz w:val="18"/>
          <w:szCs w:val="18"/>
        </w:rPr>
        <w:t>, J., Miller, W.J., Simon, E. (</w:t>
      </w:r>
      <w:proofErr w:type="spellStart"/>
      <w:proofErr w:type="gramStart"/>
      <w:r w:rsidRPr="009B42B1">
        <w:rPr>
          <w:rFonts w:ascii="Arial" w:hAnsi="Arial" w:cs="Arial"/>
          <w:sz w:val="18"/>
          <w:szCs w:val="18"/>
        </w:rPr>
        <w:t>eds</w:t>
      </w:r>
      <w:proofErr w:type="spellEnd"/>
      <w:proofErr w:type="gramEnd"/>
      <w:r w:rsidRPr="009B42B1">
        <w:rPr>
          <w:rFonts w:ascii="Arial" w:hAnsi="Arial" w:cs="Arial"/>
          <w:sz w:val="18"/>
          <w:szCs w:val="18"/>
        </w:rPr>
        <w:t xml:space="preserve">) (2016) Handbook on Teaching and Learning in Political Science and International Relations, Cheltenham: Edward Elgar Publishing Limited. </w:t>
      </w:r>
    </w:p>
    <w:p w:rsidR="007F4EEC" w:rsidRPr="009B42B1" w:rsidRDefault="007F4EEC" w:rsidP="000D31CB">
      <w:pPr>
        <w:spacing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9B42B1">
        <w:rPr>
          <w:rFonts w:ascii="Arial" w:hAnsi="Arial" w:cs="Arial"/>
          <w:sz w:val="18"/>
          <w:szCs w:val="18"/>
          <w:shd w:val="clear" w:color="auto" w:fill="FFFFFF"/>
        </w:rPr>
        <w:t>Public Health England (2016) Public Health Knowledge and Skills Framework User Guide, London, PHE.</w:t>
      </w:r>
    </w:p>
    <w:p w:rsidR="006C7BC5" w:rsidRPr="009B42B1" w:rsidRDefault="00D22E7B" w:rsidP="000D31CB">
      <w:pPr>
        <w:spacing w:line="240" w:lineRule="auto"/>
        <w:rPr>
          <w:rFonts w:ascii="Arial" w:hAnsi="Arial" w:cs="Arial"/>
          <w:sz w:val="18"/>
          <w:szCs w:val="18"/>
        </w:rPr>
      </w:pPr>
      <w:r w:rsidRPr="009B42B1">
        <w:rPr>
          <w:rFonts w:ascii="Arial" w:hAnsi="Arial" w:cs="Arial"/>
          <w:sz w:val="18"/>
          <w:szCs w:val="18"/>
        </w:rPr>
        <w:t>Siebert, S. and Walsh, A</w:t>
      </w:r>
      <w:r w:rsidR="00D41EAC" w:rsidRPr="009B42B1">
        <w:rPr>
          <w:rFonts w:ascii="Arial" w:hAnsi="Arial" w:cs="Arial"/>
          <w:sz w:val="18"/>
          <w:szCs w:val="18"/>
        </w:rPr>
        <w:t>.</w:t>
      </w:r>
      <w:r w:rsidRPr="009B42B1">
        <w:rPr>
          <w:rFonts w:ascii="Arial" w:hAnsi="Arial" w:cs="Arial"/>
          <w:sz w:val="18"/>
          <w:szCs w:val="18"/>
        </w:rPr>
        <w:t xml:space="preserve"> (2013) Reflection in work-based learning: self-regulation or self-liberation? </w:t>
      </w:r>
      <w:r w:rsidRPr="009B42B1">
        <w:rPr>
          <w:rFonts w:ascii="Arial" w:hAnsi="Arial" w:cs="Arial"/>
          <w:i/>
          <w:sz w:val="18"/>
          <w:szCs w:val="18"/>
        </w:rPr>
        <w:t>Teaching in Higher Education</w:t>
      </w:r>
      <w:r w:rsidR="00295020" w:rsidRPr="009B42B1">
        <w:rPr>
          <w:rFonts w:ascii="Arial" w:hAnsi="Arial" w:cs="Arial"/>
          <w:i/>
          <w:sz w:val="18"/>
          <w:szCs w:val="18"/>
        </w:rPr>
        <w:t>,</w:t>
      </w:r>
      <w:r w:rsidRPr="009B42B1">
        <w:rPr>
          <w:rFonts w:ascii="Arial" w:hAnsi="Arial" w:cs="Arial"/>
          <w:sz w:val="18"/>
          <w:szCs w:val="18"/>
        </w:rPr>
        <w:t xml:space="preserve"> Vol 18, No 2, 167-178</w:t>
      </w:r>
      <w:r w:rsidR="00295020" w:rsidRPr="009B42B1">
        <w:rPr>
          <w:rFonts w:ascii="Arial" w:hAnsi="Arial" w:cs="Arial"/>
          <w:sz w:val="18"/>
          <w:szCs w:val="18"/>
        </w:rPr>
        <w:t>.</w:t>
      </w:r>
    </w:p>
    <w:p w:rsidR="00E41365" w:rsidRPr="009B42B1" w:rsidRDefault="00E41365" w:rsidP="000D31CB">
      <w:pPr>
        <w:spacing w:line="240" w:lineRule="auto"/>
        <w:rPr>
          <w:rFonts w:ascii="Arial" w:hAnsi="Arial" w:cs="Arial"/>
          <w:sz w:val="18"/>
          <w:szCs w:val="18"/>
        </w:rPr>
      </w:pPr>
      <w:r w:rsidRPr="009B42B1">
        <w:rPr>
          <w:rFonts w:ascii="Arial" w:hAnsi="Arial" w:cs="Arial"/>
          <w:sz w:val="18"/>
          <w:szCs w:val="18"/>
        </w:rPr>
        <w:t>Stevens, R</w:t>
      </w:r>
      <w:r w:rsidR="00D41EAC" w:rsidRPr="009B42B1">
        <w:rPr>
          <w:rFonts w:ascii="Arial" w:hAnsi="Arial" w:cs="Arial"/>
          <w:sz w:val="18"/>
          <w:szCs w:val="18"/>
        </w:rPr>
        <w:t>.</w:t>
      </w:r>
      <w:r w:rsidRPr="009B42B1">
        <w:rPr>
          <w:rFonts w:ascii="Arial" w:hAnsi="Arial" w:cs="Arial"/>
          <w:sz w:val="18"/>
          <w:szCs w:val="18"/>
        </w:rPr>
        <w:t xml:space="preserve"> (2015) Role-play and student engagement: reflections from the classroom, </w:t>
      </w:r>
      <w:proofErr w:type="gramStart"/>
      <w:r w:rsidRPr="009B42B1">
        <w:rPr>
          <w:rFonts w:ascii="Arial" w:hAnsi="Arial" w:cs="Arial"/>
          <w:i/>
          <w:sz w:val="18"/>
          <w:szCs w:val="18"/>
        </w:rPr>
        <w:t>Teaching</w:t>
      </w:r>
      <w:proofErr w:type="gramEnd"/>
      <w:r w:rsidRPr="009B42B1">
        <w:rPr>
          <w:rFonts w:ascii="Arial" w:hAnsi="Arial" w:cs="Arial"/>
          <w:i/>
          <w:sz w:val="18"/>
          <w:szCs w:val="18"/>
        </w:rPr>
        <w:t xml:space="preserve"> in Higher Education,</w:t>
      </w:r>
      <w:r w:rsidRPr="009B42B1">
        <w:rPr>
          <w:rFonts w:ascii="Arial" w:hAnsi="Arial" w:cs="Arial"/>
          <w:sz w:val="18"/>
          <w:szCs w:val="18"/>
        </w:rPr>
        <w:t xml:space="preserve"> Vol 20, Issue 5, p481-492.</w:t>
      </w:r>
    </w:p>
    <w:p w:rsidR="00105BAA" w:rsidRPr="009B42B1" w:rsidRDefault="00105BAA" w:rsidP="000D31CB">
      <w:p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9B42B1">
        <w:rPr>
          <w:rFonts w:ascii="Arial" w:hAnsi="Arial" w:cs="Arial"/>
          <w:sz w:val="18"/>
          <w:szCs w:val="18"/>
        </w:rPr>
        <w:t>Usherwood</w:t>
      </w:r>
      <w:proofErr w:type="spellEnd"/>
      <w:r w:rsidRPr="009B42B1">
        <w:rPr>
          <w:rFonts w:ascii="Arial" w:hAnsi="Arial" w:cs="Arial"/>
          <w:sz w:val="18"/>
          <w:szCs w:val="18"/>
        </w:rPr>
        <w:t>, S</w:t>
      </w:r>
      <w:r w:rsidR="00D41EAC" w:rsidRPr="009B42B1">
        <w:rPr>
          <w:rFonts w:ascii="Arial" w:hAnsi="Arial" w:cs="Arial"/>
          <w:sz w:val="18"/>
          <w:szCs w:val="18"/>
        </w:rPr>
        <w:t>.</w:t>
      </w:r>
      <w:r w:rsidRPr="009B42B1">
        <w:rPr>
          <w:rFonts w:ascii="Arial" w:hAnsi="Arial" w:cs="Arial"/>
          <w:sz w:val="18"/>
          <w:szCs w:val="18"/>
        </w:rPr>
        <w:t xml:space="preserve"> (2017) Active Learning in Political Science (ALSP) </w:t>
      </w:r>
      <w:hyperlink r:id="rId5" w:anchor="more-7005" w:history="1">
        <w:r w:rsidRPr="009B42B1">
          <w:rPr>
            <w:rStyle w:val="Hyperlink"/>
            <w:rFonts w:ascii="Arial" w:hAnsi="Arial" w:cs="Arial"/>
            <w:sz w:val="18"/>
            <w:szCs w:val="18"/>
          </w:rPr>
          <w:t>http://activelearningps.com/2017/04/11/designing-curricula-when-you-have-a-blank-sheet-of-paper/#more-7005</w:t>
        </w:r>
      </w:hyperlink>
      <w:r w:rsidRPr="009B42B1">
        <w:rPr>
          <w:rFonts w:ascii="Arial" w:hAnsi="Arial" w:cs="Arial"/>
          <w:sz w:val="18"/>
          <w:szCs w:val="18"/>
        </w:rPr>
        <w:t xml:space="preserve">  [downloaded: 29.4.17]</w:t>
      </w:r>
    </w:p>
    <w:sectPr w:rsidR="00105BAA" w:rsidRPr="009B4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B2224"/>
    <w:multiLevelType w:val="hybridMultilevel"/>
    <w:tmpl w:val="AEA43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C5"/>
    <w:rsid w:val="0003714D"/>
    <w:rsid w:val="000D31CB"/>
    <w:rsid w:val="00105BAA"/>
    <w:rsid w:val="001B5FF2"/>
    <w:rsid w:val="00295020"/>
    <w:rsid w:val="002B2E38"/>
    <w:rsid w:val="0033112E"/>
    <w:rsid w:val="0034775A"/>
    <w:rsid w:val="00444A05"/>
    <w:rsid w:val="006C7BC5"/>
    <w:rsid w:val="007466FF"/>
    <w:rsid w:val="007710F9"/>
    <w:rsid w:val="007F4EEC"/>
    <w:rsid w:val="007F61D0"/>
    <w:rsid w:val="00865642"/>
    <w:rsid w:val="00957026"/>
    <w:rsid w:val="009B42B1"/>
    <w:rsid w:val="009E12A6"/>
    <w:rsid w:val="00B763BC"/>
    <w:rsid w:val="00D22E7B"/>
    <w:rsid w:val="00D41EAC"/>
    <w:rsid w:val="00D45E1F"/>
    <w:rsid w:val="00E2101F"/>
    <w:rsid w:val="00E41365"/>
    <w:rsid w:val="00E85FFE"/>
    <w:rsid w:val="00E95A26"/>
    <w:rsid w:val="00ED5A90"/>
    <w:rsid w:val="00F87B0C"/>
    <w:rsid w:val="00FA3AC5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08B7C-B1AF-4225-B2E8-8D56057D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7F4EEC"/>
  </w:style>
  <w:style w:type="character" w:styleId="Strong">
    <w:name w:val="Strong"/>
    <w:uiPriority w:val="22"/>
    <w:qFormat/>
    <w:rsid w:val="007F4EEC"/>
    <w:rPr>
      <w:b/>
      <w:bCs/>
    </w:rPr>
  </w:style>
  <w:style w:type="character" w:styleId="Hyperlink">
    <w:name w:val="Hyperlink"/>
    <w:uiPriority w:val="99"/>
    <w:unhideWhenUsed/>
    <w:rsid w:val="00105B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tivelearningps.com/2017/04/11/designing-curricula-when-you-have-a-blank-sheet-of-pap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Jane Thomas</cp:lastModifiedBy>
  <cp:revision>3</cp:revision>
  <dcterms:created xsi:type="dcterms:W3CDTF">2017-07-28T16:35:00Z</dcterms:created>
  <dcterms:modified xsi:type="dcterms:W3CDTF">2017-08-03T14:21:00Z</dcterms:modified>
</cp:coreProperties>
</file>