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A5" w:rsidRPr="00BF60F3" w:rsidRDefault="000647A5" w:rsidP="00B218B6">
      <w:pPr>
        <w:spacing w:after="0" w:line="240" w:lineRule="auto"/>
        <w:rPr>
          <w:rFonts w:ascii="Times New Roman" w:hAnsi="Times New Roman" w:cs="Times New Roman"/>
          <w:b/>
          <w:sz w:val="28"/>
        </w:rPr>
      </w:pPr>
      <w:r w:rsidRPr="00BF60F3">
        <w:rPr>
          <w:rFonts w:ascii="Times New Roman" w:hAnsi="Times New Roman" w:cs="Times New Roman"/>
          <w:b/>
          <w:sz w:val="28"/>
        </w:rPr>
        <w:t xml:space="preserve">Using the student voice to enhance </w:t>
      </w:r>
      <w:r w:rsidR="00616B81" w:rsidRPr="00BF60F3">
        <w:rPr>
          <w:rFonts w:ascii="Times New Roman" w:hAnsi="Times New Roman" w:cs="Times New Roman"/>
          <w:b/>
          <w:sz w:val="28"/>
        </w:rPr>
        <w:t xml:space="preserve">the teaching </w:t>
      </w:r>
      <w:r w:rsidR="00D242ED" w:rsidRPr="00BF60F3">
        <w:rPr>
          <w:rFonts w:ascii="Times New Roman" w:hAnsi="Times New Roman" w:cs="Times New Roman"/>
          <w:b/>
          <w:sz w:val="28"/>
        </w:rPr>
        <w:t>of</w:t>
      </w:r>
      <w:r w:rsidR="00616B81" w:rsidRPr="00BF60F3">
        <w:rPr>
          <w:rFonts w:ascii="Times New Roman" w:hAnsi="Times New Roman" w:cs="Times New Roman"/>
          <w:b/>
          <w:sz w:val="28"/>
        </w:rPr>
        <w:t xml:space="preserve"> </w:t>
      </w:r>
      <w:r w:rsidR="008571E2" w:rsidRPr="00BF60F3">
        <w:rPr>
          <w:rFonts w:ascii="Times New Roman" w:hAnsi="Times New Roman" w:cs="Times New Roman"/>
          <w:b/>
          <w:sz w:val="28"/>
        </w:rPr>
        <w:t xml:space="preserve">undergraduate </w:t>
      </w:r>
      <w:r w:rsidRPr="00BF60F3">
        <w:rPr>
          <w:rFonts w:ascii="Times New Roman" w:hAnsi="Times New Roman" w:cs="Times New Roman"/>
          <w:b/>
          <w:sz w:val="28"/>
        </w:rPr>
        <w:t>courses with high failure rates</w:t>
      </w:r>
    </w:p>
    <w:p w:rsidR="000647A5" w:rsidRPr="00BF60F3" w:rsidRDefault="000647A5" w:rsidP="00B218B6">
      <w:pPr>
        <w:spacing w:after="0" w:line="240" w:lineRule="auto"/>
        <w:rPr>
          <w:rFonts w:ascii="Times New Roman" w:hAnsi="Times New Roman" w:cs="Times New Roman"/>
          <w:b/>
          <w:sz w:val="24"/>
        </w:rPr>
      </w:pPr>
    </w:p>
    <w:p w:rsidR="00B218B6" w:rsidRPr="00BF60F3" w:rsidRDefault="00B218B6" w:rsidP="00B218B6">
      <w:pPr>
        <w:spacing w:after="0" w:line="240" w:lineRule="auto"/>
        <w:rPr>
          <w:rFonts w:ascii="Times New Roman" w:hAnsi="Times New Roman" w:cs="Times New Roman"/>
          <w:b/>
          <w:sz w:val="24"/>
        </w:rPr>
      </w:pPr>
      <w:bookmarkStart w:id="0" w:name="_GoBack"/>
      <w:bookmarkEnd w:id="0"/>
    </w:p>
    <w:p w:rsidR="007C58D9" w:rsidRPr="00BF60F3" w:rsidRDefault="007C58D9" w:rsidP="00B218B6">
      <w:pPr>
        <w:spacing w:after="0" w:line="240" w:lineRule="auto"/>
        <w:rPr>
          <w:rFonts w:ascii="Times New Roman" w:hAnsi="Times New Roman" w:cs="Times New Roman"/>
          <w:b/>
          <w:sz w:val="24"/>
        </w:rPr>
      </w:pPr>
    </w:p>
    <w:p w:rsidR="00663EF3" w:rsidRPr="00BF60F3" w:rsidRDefault="00663EF3" w:rsidP="00B218B6">
      <w:pPr>
        <w:spacing w:after="0" w:line="240" w:lineRule="auto"/>
        <w:rPr>
          <w:rFonts w:ascii="Times New Roman" w:hAnsi="Times New Roman" w:cs="Times New Roman"/>
          <w:b/>
          <w:sz w:val="24"/>
        </w:rPr>
      </w:pPr>
    </w:p>
    <w:p w:rsidR="00663EF3" w:rsidRPr="00BF60F3" w:rsidRDefault="00663EF3" w:rsidP="00B218B6">
      <w:pPr>
        <w:spacing w:after="0" w:line="240" w:lineRule="auto"/>
        <w:rPr>
          <w:rFonts w:ascii="Times New Roman" w:hAnsi="Times New Roman" w:cs="Times New Roman"/>
          <w:b/>
          <w:sz w:val="24"/>
        </w:rPr>
      </w:pPr>
    </w:p>
    <w:p w:rsidR="00DD23AD" w:rsidRPr="00BF60F3" w:rsidRDefault="00DD23AD" w:rsidP="00B218B6">
      <w:pPr>
        <w:spacing w:after="160" w:line="240" w:lineRule="auto"/>
        <w:rPr>
          <w:rFonts w:ascii="Arial" w:hAnsi="Arial" w:cs="Arial"/>
          <w:b/>
        </w:rPr>
      </w:pPr>
      <w:r w:rsidRPr="00BF60F3">
        <w:rPr>
          <w:rFonts w:ascii="Arial" w:hAnsi="Arial" w:cs="Arial"/>
          <w:b/>
        </w:rPr>
        <w:t>Abstract</w:t>
      </w:r>
    </w:p>
    <w:p w:rsidR="00B218B6" w:rsidRPr="00BF60F3" w:rsidRDefault="002E3E90" w:rsidP="00B218B6">
      <w:pPr>
        <w:spacing w:after="0" w:line="240" w:lineRule="auto"/>
        <w:ind w:right="540"/>
        <w:jc w:val="both"/>
        <w:rPr>
          <w:rFonts w:ascii="Times New Roman" w:hAnsi="Times New Roman" w:cs="Times New Roman"/>
          <w:sz w:val="24"/>
        </w:rPr>
      </w:pPr>
      <w:r w:rsidRPr="00BF60F3">
        <w:rPr>
          <w:rFonts w:ascii="Times New Roman" w:hAnsi="Times New Roman" w:cs="Times New Roman"/>
          <w:sz w:val="24"/>
        </w:rPr>
        <w:t xml:space="preserve">Whilst it is likely that some students will fail a course, it is important for universities to determine whether such failure is a personal outcome or whether there </w:t>
      </w:r>
      <w:r w:rsidR="00DD23AD" w:rsidRPr="00BF60F3">
        <w:rPr>
          <w:rFonts w:ascii="Times New Roman" w:hAnsi="Times New Roman" w:cs="Times New Roman"/>
          <w:sz w:val="24"/>
        </w:rPr>
        <w:t>are</w:t>
      </w:r>
      <w:r w:rsidRPr="00BF60F3">
        <w:rPr>
          <w:rFonts w:ascii="Times New Roman" w:hAnsi="Times New Roman" w:cs="Times New Roman"/>
          <w:sz w:val="24"/>
        </w:rPr>
        <w:t xml:space="preserve"> aspects of the course that could be more conducive to student learning. In adopting a student-centred approach, this research analysed data drawn from student evaluation question</w:t>
      </w:r>
      <w:r w:rsidR="00DD23AD" w:rsidRPr="00BF60F3">
        <w:rPr>
          <w:rFonts w:ascii="Times New Roman" w:hAnsi="Times New Roman" w:cs="Times New Roman"/>
          <w:sz w:val="24"/>
        </w:rPr>
        <w:t>naire</w:t>
      </w:r>
      <w:r w:rsidRPr="00BF60F3">
        <w:rPr>
          <w:rFonts w:ascii="Times New Roman" w:hAnsi="Times New Roman" w:cs="Times New Roman"/>
          <w:sz w:val="24"/>
        </w:rPr>
        <w:t xml:space="preserve">s (SEQs) in order to establish how students </w:t>
      </w:r>
      <w:r w:rsidR="00DD23AD" w:rsidRPr="00BF60F3">
        <w:rPr>
          <w:rFonts w:ascii="Times New Roman" w:hAnsi="Times New Roman" w:cs="Times New Roman"/>
          <w:sz w:val="24"/>
        </w:rPr>
        <w:t xml:space="preserve">thought </w:t>
      </w:r>
      <w:r w:rsidR="00B110A8" w:rsidRPr="00BF60F3">
        <w:rPr>
          <w:rFonts w:ascii="Times New Roman" w:hAnsi="Times New Roman" w:cs="Times New Roman"/>
          <w:sz w:val="24"/>
        </w:rPr>
        <w:t xml:space="preserve">the teaching of undergraduate </w:t>
      </w:r>
      <w:r w:rsidR="00DD23AD" w:rsidRPr="00BF60F3">
        <w:rPr>
          <w:rFonts w:ascii="Times New Roman" w:hAnsi="Times New Roman" w:cs="Times New Roman"/>
          <w:sz w:val="24"/>
        </w:rPr>
        <w:t>courses with high failure rates could be improved. Many Hi</w:t>
      </w:r>
      <w:r w:rsidR="00BF6F5B" w:rsidRPr="00BF60F3">
        <w:rPr>
          <w:rFonts w:ascii="Times New Roman" w:hAnsi="Times New Roman" w:cs="Times New Roman"/>
          <w:sz w:val="24"/>
        </w:rPr>
        <w:t>gher Education institutions use</w:t>
      </w:r>
      <w:r w:rsidR="00DD23AD" w:rsidRPr="00BF60F3">
        <w:rPr>
          <w:rFonts w:ascii="Times New Roman" w:hAnsi="Times New Roman" w:cs="Times New Roman"/>
          <w:sz w:val="24"/>
        </w:rPr>
        <w:t xml:space="preserve"> </w:t>
      </w:r>
      <w:r w:rsidRPr="00BF60F3">
        <w:rPr>
          <w:rFonts w:ascii="Times New Roman" w:hAnsi="Times New Roman" w:cs="Times New Roman"/>
          <w:sz w:val="24"/>
        </w:rPr>
        <w:t xml:space="preserve">SEQs </w:t>
      </w:r>
      <w:r w:rsidR="00DD23AD" w:rsidRPr="00BF60F3">
        <w:rPr>
          <w:rFonts w:ascii="Times New Roman" w:hAnsi="Times New Roman" w:cs="Times New Roman"/>
          <w:sz w:val="24"/>
        </w:rPr>
        <w:t xml:space="preserve">as tools for gathering data on the teaching and learning experience but the emphasis here is on how such data can be used. </w:t>
      </w:r>
      <w:r w:rsidR="00B110A8" w:rsidRPr="00BF60F3">
        <w:rPr>
          <w:rFonts w:ascii="Times New Roman" w:hAnsi="Times New Roman" w:cs="Times New Roman"/>
          <w:sz w:val="24"/>
        </w:rPr>
        <w:t xml:space="preserve">Content analysis was used to map the </w:t>
      </w:r>
      <w:r w:rsidRPr="00BF60F3">
        <w:rPr>
          <w:rFonts w:ascii="Times New Roman" w:hAnsi="Times New Roman" w:cs="Times New Roman"/>
          <w:sz w:val="24"/>
        </w:rPr>
        <w:t xml:space="preserve">SEQs </w:t>
      </w:r>
      <w:r w:rsidR="00B110A8" w:rsidRPr="00BF60F3">
        <w:rPr>
          <w:rFonts w:ascii="Times New Roman" w:hAnsi="Times New Roman" w:cs="Times New Roman"/>
          <w:sz w:val="24"/>
        </w:rPr>
        <w:t>of</w:t>
      </w:r>
      <w:r w:rsidRPr="00BF60F3">
        <w:rPr>
          <w:rFonts w:ascii="Times New Roman" w:hAnsi="Times New Roman" w:cs="Times New Roman"/>
          <w:sz w:val="24"/>
        </w:rPr>
        <w:t xml:space="preserve"> students enrolled on </w:t>
      </w:r>
      <w:r w:rsidR="00DD23AD" w:rsidRPr="00BF60F3">
        <w:rPr>
          <w:rFonts w:ascii="Times New Roman" w:hAnsi="Times New Roman" w:cs="Times New Roman"/>
          <w:sz w:val="24"/>
        </w:rPr>
        <w:t xml:space="preserve">19 </w:t>
      </w:r>
      <w:r w:rsidRPr="00BF60F3">
        <w:rPr>
          <w:rFonts w:ascii="Times New Roman" w:hAnsi="Times New Roman" w:cs="Times New Roman"/>
          <w:sz w:val="24"/>
        </w:rPr>
        <w:t xml:space="preserve">courses with high failure rates </w:t>
      </w:r>
      <w:r w:rsidR="00B110A8" w:rsidRPr="00BF60F3">
        <w:rPr>
          <w:rFonts w:ascii="Times New Roman" w:hAnsi="Times New Roman" w:cs="Times New Roman"/>
          <w:sz w:val="24"/>
        </w:rPr>
        <w:t xml:space="preserve">against a baseline </w:t>
      </w:r>
      <w:r w:rsidR="0088143E" w:rsidRPr="00BF60F3">
        <w:rPr>
          <w:rFonts w:ascii="Times New Roman" w:hAnsi="Times New Roman" w:cs="Times New Roman"/>
          <w:sz w:val="24"/>
        </w:rPr>
        <w:t>developed</w:t>
      </w:r>
      <w:r w:rsidR="00B110A8" w:rsidRPr="00BF60F3">
        <w:rPr>
          <w:rFonts w:ascii="Times New Roman" w:hAnsi="Times New Roman" w:cs="Times New Roman"/>
          <w:sz w:val="24"/>
        </w:rPr>
        <w:t xml:space="preserve"> from </w:t>
      </w:r>
      <w:r w:rsidR="0088143E" w:rsidRPr="00BF60F3">
        <w:rPr>
          <w:rFonts w:ascii="Times New Roman" w:hAnsi="Times New Roman" w:cs="Times New Roman"/>
          <w:sz w:val="24"/>
        </w:rPr>
        <w:t xml:space="preserve">the </w:t>
      </w:r>
      <w:r w:rsidR="00B110A8" w:rsidRPr="00BF60F3">
        <w:rPr>
          <w:rFonts w:ascii="Times New Roman" w:hAnsi="Times New Roman" w:cs="Times New Roman"/>
          <w:sz w:val="24"/>
        </w:rPr>
        <w:t xml:space="preserve">SEQs of students enrolled on 19 courses with low failure rates. </w:t>
      </w:r>
      <w:r w:rsidR="000647A5" w:rsidRPr="00BF60F3">
        <w:rPr>
          <w:rFonts w:ascii="Times New Roman" w:hAnsi="Times New Roman" w:cs="Times New Roman"/>
          <w:sz w:val="24"/>
        </w:rPr>
        <w:t>This paper examines the</w:t>
      </w:r>
      <w:r w:rsidR="0088143E" w:rsidRPr="00BF60F3">
        <w:rPr>
          <w:rFonts w:ascii="Times New Roman" w:hAnsi="Times New Roman" w:cs="Times New Roman"/>
          <w:sz w:val="24"/>
        </w:rPr>
        <w:t>se</w:t>
      </w:r>
      <w:r w:rsidR="000647A5" w:rsidRPr="00BF60F3">
        <w:rPr>
          <w:rFonts w:ascii="Times New Roman" w:hAnsi="Times New Roman" w:cs="Times New Roman"/>
          <w:sz w:val="24"/>
        </w:rPr>
        <w:t xml:space="preserve"> responses and makes </w:t>
      </w:r>
      <w:r w:rsidR="006B1A79" w:rsidRPr="00BF60F3">
        <w:rPr>
          <w:rFonts w:ascii="Times New Roman" w:hAnsi="Times New Roman" w:cs="Times New Roman"/>
          <w:sz w:val="24"/>
        </w:rPr>
        <w:t xml:space="preserve">five </w:t>
      </w:r>
      <w:r w:rsidR="000647A5" w:rsidRPr="00BF60F3">
        <w:rPr>
          <w:rFonts w:ascii="Times New Roman" w:hAnsi="Times New Roman" w:cs="Times New Roman"/>
          <w:sz w:val="24"/>
        </w:rPr>
        <w:t xml:space="preserve">recommendations specifically aimed at improving </w:t>
      </w:r>
      <w:r w:rsidRPr="00BF60F3">
        <w:rPr>
          <w:rFonts w:ascii="Times New Roman" w:hAnsi="Times New Roman" w:cs="Times New Roman"/>
          <w:sz w:val="24"/>
        </w:rPr>
        <w:t xml:space="preserve">undergraduate </w:t>
      </w:r>
      <w:r w:rsidR="000647A5" w:rsidRPr="00BF60F3">
        <w:rPr>
          <w:rFonts w:ascii="Times New Roman" w:hAnsi="Times New Roman" w:cs="Times New Roman"/>
          <w:sz w:val="24"/>
        </w:rPr>
        <w:t>courses with high failure rates.</w:t>
      </w:r>
    </w:p>
    <w:p w:rsidR="000647A5" w:rsidRPr="00BF60F3" w:rsidRDefault="000647A5" w:rsidP="00B218B6">
      <w:pPr>
        <w:spacing w:after="0" w:line="240" w:lineRule="auto"/>
        <w:ind w:right="540"/>
        <w:jc w:val="both"/>
        <w:rPr>
          <w:rFonts w:ascii="Times New Roman" w:hAnsi="Times New Roman" w:cs="Times New Roman"/>
          <w:sz w:val="24"/>
        </w:rPr>
      </w:pPr>
      <w:r w:rsidRPr="00BF60F3">
        <w:rPr>
          <w:rFonts w:ascii="Times New Roman" w:hAnsi="Times New Roman" w:cs="Times New Roman"/>
          <w:sz w:val="24"/>
        </w:rPr>
        <w:t xml:space="preserve"> </w:t>
      </w:r>
    </w:p>
    <w:p w:rsidR="00DD23AD" w:rsidRPr="00BF60F3" w:rsidRDefault="00DD23AD" w:rsidP="00B218B6">
      <w:pPr>
        <w:spacing w:after="0" w:line="240" w:lineRule="auto"/>
        <w:ind w:right="540"/>
        <w:jc w:val="both"/>
        <w:rPr>
          <w:rFonts w:ascii="Times New Roman" w:hAnsi="Times New Roman" w:cs="Times New Roman"/>
          <w:b/>
          <w:sz w:val="24"/>
        </w:rPr>
      </w:pPr>
      <w:r w:rsidRPr="00BF60F3">
        <w:rPr>
          <w:rFonts w:ascii="Arial" w:hAnsi="Arial" w:cs="Arial"/>
          <w:b/>
        </w:rPr>
        <w:t>Key words:</w:t>
      </w:r>
      <w:r w:rsidRPr="00BF60F3">
        <w:rPr>
          <w:rFonts w:ascii="Times New Roman" w:hAnsi="Times New Roman" w:cs="Times New Roman"/>
          <w:b/>
          <w:sz w:val="24"/>
        </w:rPr>
        <w:t xml:space="preserve"> </w:t>
      </w:r>
      <w:r w:rsidRPr="00BF60F3">
        <w:rPr>
          <w:rFonts w:ascii="Times New Roman" w:hAnsi="Times New Roman" w:cs="Times New Roman"/>
          <w:sz w:val="24"/>
        </w:rPr>
        <w:t xml:space="preserve">student evaluation questionnaires; student voice; </w:t>
      </w:r>
      <w:r w:rsidR="00B218B6" w:rsidRPr="00BF60F3">
        <w:rPr>
          <w:rFonts w:ascii="Times New Roman" w:hAnsi="Times New Roman" w:cs="Times New Roman"/>
          <w:sz w:val="24"/>
        </w:rPr>
        <w:t>failure rates</w:t>
      </w:r>
    </w:p>
    <w:p w:rsidR="000647A5" w:rsidRPr="00BF60F3" w:rsidRDefault="000647A5" w:rsidP="00B218B6">
      <w:pPr>
        <w:spacing w:after="0" w:line="240" w:lineRule="auto"/>
        <w:rPr>
          <w:rFonts w:ascii="Times New Roman" w:hAnsi="Times New Roman" w:cs="Times New Roman"/>
          <w:b/>
          <w:sz w:val="24"/>
        </w:rPr>
      </w:pPr>
    </w:p>
    <w:p w:rsidR="000647A5" w:rsidRPr="00BF60F3" w:rsidRDefault="000647A5" w:rsidP="00B218B6">
      <w:pPr>
        <w:spacing w:after="0" w:line="240" w:lineRule="auto"/>
        <w:rPr>
          <w:rFonts w:ascii="Times New Roman" w:hAnsi="Times New Roman" w:cs="Times New Roman"/>
          <w:b/>
          <w:sz w:val="24"/>
        </w:rPr>
      </w:pPr>
    </w:p>
    <w:p w:rsidR="007C58D9" w:rsidRPr="00BF60F3" w:rsidRDefault="007C58D9" w:rsidP="00B218B6">
      <w:pPr>
        <w:spacing w:after="0" w:line="240" w:lineRule="auto"/>
        <w:rPr>
          <w:rFonts w:ascii="Times New Roman" w:hAnsi="Times New Roman" w:cs="Times New Roman"/>
          <w:b/>
          <w:sz w:val="24"/>
        </w:rPr>
      </w:pPr>
    </w:p>
    <w:p w:rsidR="000647A5" w:rsidRPr="00BF60F3" w:rsidRDefault="000647A5" w:rsidP="00DD23AD">
      <w:pPr>
        <w:spacing w:after="160" w:line="240" w:lineRule="auto"/>
        <w:rPr>
          <w:rFonts w:ascii="Arial" w:hAnsi="Arial" w:cs="Arial"/>
          <w:b/>
        </w:rPr>
      </w:pPr>
      <w:r w:rsidRPr="00BF60F3">
        <w:rPr>
          <w:rFonts w:ascii="Arial" w:hAnsi="Arial" w:cs="Arial"/>
          <w:b/>
        </w:rPr>
        <w:t>Introduction</w:t>
      </w:r>
    </w:p>
    <w:p w:rsidR="00881BC6" w:rsidRPr="00BF60F3" w:rsidRDefault="000647A5" w:rsidP="006A60ED">
      <w:pPr>
        <w:spacing w:after="240" w:line="240" w:lineRule="auto"/>
        <w:rPr>
          <w:rFonts w:ascii="Times New Roman" w:hAnsi="Times New Roman" w:cs="Times New Roman"/>
          <w:sz w:val="24"/>
        </w:rPr>
      </w:pPr>
      <w:r w:rsidRPr="00BF60F3">
        <w:rPr>
          <w:rFonts w:ascii="Times New Roman" w:hAnsi="Times New Roman" w:cs="Times New Roman"/>
          <w:sz w:val="24"/>
        </w:rPr>
        <w:t>At a time when universities are under increased scrutiny and are, in many countries, routinely examined to assess their worth, it seems rather counter-intuitive that there has been little research on university course failure (Haynes Stewart, Cli</w:t>
      </w:r>
      <w:r w:rsidR="009B363F" w:rsidRPr="00BF60F3">
        <w:rPr>
          <w:rFonts w:ascii="Times New Roman" w:hAnsi="Times New Roman" w:cs="Times New Roman"/>
          <w:sz w:val="24"/>
        </w:rPr>
        <w:t xml:space="preserve">fton, Daniels, Perry, </w:t>
      </w:r>
      <w:proofErr w:type="spellStart"/>
      <w:r w:rsidR="009B363F" w:rsidRPr="00BF60F3">
        <w:rPr>
          <w:rFonts w:ascii="Times New Roman" w:hAnsi="Times New Roman" w:cs="Times New Roman"/>
          <w:sz w:val="24"/>
        </w:rPr>
        <w:t>Chipperfie</w:t>
      </w:r>
      <w:r w:rsidRPr="00BF60F3">
        <w:rPr>
          <w:rFonts w:ascii="Times New Roman" w:hAnsi="Times New Roman" w:cs="Times New Roman"/>
          <w:sz w:val="24"/>
        </w:rPr>
        <w:t>ld</w:t>
      </w:r>
      <w:proofErr w:type="spellEnd"/>
      <w:r w:rsidRPr="00BF60F3">
        <w:rPr>
          <w:rFonts w:ascii="Times New Roman" w:hAnsi="Times New Roman" w:cs="Times New Roman"/>
          <w:sz w:val="24"/>
        </w:rPr>
        <w:t xml:space="preserve"> &amp; </w:t>
      </w:r>
      <w:proofErr w:type="spellStart"/>
      <w:r w:rsidRPr="00BF60F3">
        <w:rPr>
          <w:rFonts w:ascii="Times New Roman" w:hAnsi="Times New Roman" w:cs="Times New Roman"/>
          <w:sz w:val="24"/>
        </w:rPr>
        <w:t>Ruthig</w:t>
      </w:r>
      <w:proofErr w:type="spellEnd"/>
      <w:r w:rsidRPr="00BF60F3">
        <w:rPr>
          <w:rFonts w:ascii="Times New Roman" w:hAnsi="Times New Roman" w:cs="Times New Roman"/>
          <w:sz w:val="24"/>
        </w:rPr>
        <w:t>, 2011</w:t>
      </w:r>
      <w:r w:rsidR="006020F6" w:rsidRPr="00BF60F3">
        <w:rPr>
          <w:rFonts w:ascii="Times New Roman" w:hAnsi="Times New Roman" w:cs="Times New Roman"/>
          <w:sz w:val="24"/>
        </w:rPr>
        <w:t xml:space="preserve">; </w:t>
      </w:r>
      <w:proofErr w:type="spellStart"/>
      <w:r w:rsidR="00213FD0" w:rsidRPr="00BF60F3">
        <w:rPr>
          <w:rFonts w:ascii="Times New Roman" w:hAnsi="Times New Roman" w:cs="Times New Roman"/>
          <w:sz w:val="24"/>
        </w:rPr>
        <w:t>Wimshurst</w:t>
      </w:r>
      <w:proofErr w:type="spellEnd"/>
      <w:r w:rsidR="00213FD0" w:rsidRPr="00BF60F3">
        <w:rPr>
          <w:rFonts w:ascii="Times New Roman" w:hAnsi="Times New Roman" w:cs="Times New Roman"/>
          <w:sz w:val="24"/>
        </w:rPr>
        <w:t xml:space="preserve"> &amp; </w:t>
      </w:r>
      <w:r w:rsidR="006020F6" w:rsidRPr="00BF60F3">
        <w:rPr>
          <w:rFonts w:ascii="Times New Roman" w:hAnsi="Times New Roman" w:cs="Times New Roman"/>
          <w:sz w:val="24"/>
        </w:rPr>
        <w:t>Allard, 2008</w:t>
      </w:r>
      <w:r w:rsidRPr="00BF60F3">
        <w:rPr>
          <w:rFonts w:ascii="Times New Roman" w:hAnsi="Times New Roman" w:cs="Times New Roman"/>
          <w:sz w:val="24"/>
        </w:rPr>
        <w:t xml:space="preserve">) and that most of the literature that has looked at </w:t>
      </w:r>
      <w:r w:rsidR="00361140" w:rsidRPr="00BF60F3">
        <w:rPr>
          <w:rFonts w:ascii="Times New Roman" w:hAnsi="Times New Roman" w:cs="Times New Roman"/>
          <w:sz w:val="24"/>
        </w:rPr>
        <w:t xml:space="preserve">undergraduate </w:t>
      </w:r>
      <w:r w:rsidRPr="00BF60F3">
        <w:rPr>
          <w:rFonts w:ascii="Times New Roman" w:hAnsi="Times New Roman" w:cs="Times New Roman"/>
          <w:sz w:val="24"/>
        </w:rPr>
        <w:t>attainment has focused on academic success (</w:t>
      </w:r>
      <w:proofErr w:type="spellStart"/>
      <w:r w:rsidRPr="00BF60F3">
        <w:rPr>
          <w:rFonts w:ascii="Times New Roman" w:hAnsi="Times New Roman" w:cs="Times New Roman"/>
          <w:sz w:val="24"/>
        </w:rPr>
        <w:t>Peelo</w:t>
      </w:r>
      <w:proofErr w:type="spellEnd"/>
      <w:r w:rsidRPr="00BF60F3">
        <w:rPr>
          <w:rFonts w:ascii="Times New Roman" w:hAnsi="Times New Roman" w:cs="Times New Roman"/>
          <w:sz w:val="24"/>
        </w:rPr>
        <w:t>, 2002). Perhaps the nature of research in this f</w:t>
      </w:r>
      <w:r w:rsidR="00361140" w:rsidRPr="00BF60F3">
        <w:rPr>
          <w:rFonts w:ascii="Times New Roman" w:hAnsi="Times New Roman" w:cs="Times New Roman"/>
          <w:sz w:val="24"/>
        </w:rPr>
        <w:t>ie</w:t>
      </w:r>
      <w:r w:rsidRPr="00BF60F3">
        <w:rPr>
          <w:rFonts w:ascii="Times New Roman" w:hAnsi="Times New Roman" w:cs="Times New Roman"/>
          <w:sz w:val="24"/>
        </w:rPr>
        <w:t xml:space="preserve">ld (where one colleague is analysing the outcomes of another) has led to a focus on the positive. Or perhaps </w:t>
      </w:r>
      <w:proofErr w:type="gramStart"/>
      <w:r w:rsidRPr="00BF60F3">
        <w:rPr>
          <w:rFonts w:ascii="Times New Roman" w:hAnsi="Times New Roman" w:cs="Times New Roman"/>
          <w:sz w:val="24"/>
        </w:rPr>
        <w:t>those researching</w:t>
      </w:r>
      <w:proofErr w:type="gramEnd"/>
      <w:r w:rsidRPr="00BF60F3">
        <w:rPr>
          <w:rFonts w:ascii="Times New Roman" w:hAnsi="Times New Roman" w:cs="Times New Roman"/>
          <w:sz w:val="24"/>
        </w:rPr>
        <w:t xml:space="preserve"> this </w:t>
      </w:r>
      <w:r w:rsidR="00881BC6" w:rsidRPr="00BF60F3">
        <w:rPr>
          <w:rFonts w:ascii="Times New Roman" w:hAnsi="Times New Roman" w:cs="Times New Roman"/>
          <w:sz w:val="24"/>
        </w:rPr>
        <w:t>area</w:t>
      </w:r>
      <w:r w:rsidRPr="00BF60F3">
        <w:rPr>
          <w:rFonts w:ascii="Times New Roman" w:hAnsi="Times New Roman" w:cs="Times New Roman"/>
          <w:sz w:val="24"/>
        </w:rPr>
        <w:t xml:space="preserve"> show a preference for the positive as a means of finding methods that work and that could be applied elsewhere in order to reproduce such success. In either case, it seems inappropriate to ignore failure in the university system and here it is proposed that </w:t>
      </w:r>
      <w:r w:rsidR="00881BC6" w:rsidRPr="00BF60F3">
        <w:rPr>
          <w:rFonts w:ascii="Times New Roman" w:hAnsi="Times New Roman" w:cs="Times New Roman"/>
          <w:sz w:val="24"/>
        </w:rPr>
        <w:t>one way of examining courses with high failure rates is through listening to the student voice.</w:t>
      </w:r>
    </w:p>
    <w:p w:rsidR="00881BC6" w:rsidRPr="00BF60F3" w:rsidRDefault="00213FD0" w:rsidP="006A60ED">
      <w:pPr>
        <w:spacing w:after="240" w:line="240" w:lineRule="auto"/>
        <w:rPr>
          <w:rFonts w:ascii="Times New Roman" w:hAnsi="Times New Roman" w:cs="Times New Roman"/>
          <w:sz w:val="24"/>
          <w:szCs w:val="24"/>
        </w:rPr>
      </w:pPr>
      <w:r w:rsidRPr="00BF60F3">
        <w:rPr>
          <w:rFonts w:ascii="Times New Roman" w:hAnsi="Times New Roman" w:cs="Times New Roman"/>
          <w:sz w:val="24"/>
        </w:rPr>
        <w:t>Sea</w:t>
      </w:r>
      <w:r w:rsidR="007E2955" w:rsidRPr="00BF60F3">
        <w:rPr>
          <w:rFonts w:ascii="Times New Roman" w:hAnsi="Times New Roman" w:cs="Times New Roman"/>
          <w:sz w:val="24"/>
        </w:rPr>
        <w:t>le (2009</w:t>
      </w:r>
      <w:r w:rsidR="0072478D" w:rsidRPr="00BF60F3">
        <w:rPr>
          <w:rFonts w:ascii="Times New Roman" w:hAnsi="Times New Roman" w:cs="Times New Roman"/>
          <w:sz w:val="24"/>
        </w:rPr>
        <w:t>) suggest</w:t>
      </w:r>
      <w:r w:rsidR="006020F6" w:rsidRPr="00BF60F3">
        <w:rPr>
          <w:rFonts w:ascii="Times New Roman" w:hAnsi="Times New Roman" w:cs="Times New Roman"/>
          <w:sz w:val="24"/>
        </w:rPr>
        <w:t>s</w:t>
      </w:r>
      <w:r w:rsidR="0072478D" w:rsidRPr="00BF60F3">
        <w:rPr>
          <w:rFonts w:ascii="Times New Roman" w:hAnsi="Times New Roman" w:cs="Times New Roman"/>
          <w:sz w:val="24"/>
        </w:rPr>
        <w:t xml:space="preserve"> that universities should feel</w:t>
      </w:r>
      <w:r w:rsidR="0083295A" w:rsidRPr="00BF60F3">
        <w:rPr>
          <w:rFonts w:ascii="Times New Roman" w:hAnsi="Times New Roman" w:cs="Times New Roman"/>
          <w:sz w:val="24"/>
        </w:rPr>
        <w:t xml:space="preserve"> committe</w:t>
      </w:r>
      <w:r w:rsidR="0072478D" w:rsidRPr="00BF60F3">
        <w:rPr>
          <w:rFonts w:ascii="Times New Roman" w:hAnsi="Times New Roman" w:cs="Times New Roman"/>
          <w:sz w:val="24"/>
        </w:rPr>
        <w:t>d to hear</w:t>
      </w:r>
      <w:r w:rsidR="0083295A" w:rsidRPr="00BF60F3">
        <w:rPr>
          <w:rFonts w:ascii="Times New Roman" w:hAnsi="Times New Roman" w:cs="Times New Roman"/>
          <w:sz w:val="24"/>
        </w:rPr>
        <w:t>ing</w:t>
      </w:r>
      <w:r w:rsidR="0072478D" w:rsidRPr="00BF60F3">
        <w:rPr>
          <w:rFonts w:ascii="Times New Roman" w:hAnsi="Times New Roman" w:cs="Times New Roman"/>
          <w:sz w:val="24"/>
        </w:rPr>
        <w:t xml:space="preserve"> the voice of their students and Cook-Sather (2006) propose</w:t>
      </w:r>
      <w:r w:rsidR="00721E64" w:rsidRPr="00BF60F3">
        <w:rPr>
          <w:rFonts w:ascii="Times New Roman" w:hAnsi="Times New Roman" w:cs="Times New Roman"/>
          <w:sz w:val="24"/>
        </w:rPr>
        <w:t>s</w:t>
      </w:r>
      <w:r w:rsidR="0072478D" w:rsidRPr="00BF60F3">
        <w:rPr>
          <w:rFonts w:ascii="Times New Roman" w:hAnsi="Times New Roman" w:cs="Times New Roman"/>
          <w:sz w:val="24"/>
        </w:rPr>
        <w:t xml:space="preserve"> that student feedback tools offer valid mechanisms for capturing this voice.</w:t>
      </w:r>
      <w:r w:rsidR="00EF0CBB" w:rsidRPr="00BF60F3">
        <w:rPr>
          <w:rFonts w:ascii="Times New Roman" w:hAnsi="Times New Roman" w:cs="Times New Roman"/>
          <w:sz w:val="24"/>
        </w:rPr>
        <w:t xml:space="preserve"> </w:t>
      </w:r>
      <w:r w:rsidR="000647A5" w:rsidRPr="00BF60F3">
        <w:rPr>
          <w:rFonts w:ascii="Times New Roman" w:hAnsi="Times New Roman" w:cs="Times New Roman"/>
          <w:sz w:val="24"/>
        </w:rPr>
        <w:t>Many institutions use student evaluation processes as a way of highlighting course and lecturer strengths and areas for improvement. As well as evaluating lecturers, student evaluation questionnaires</w:t>
      </w:r>
      <w:r w:rsidR="00881BC6" w:rsidRPr="00BF60F3">
        <w:rPr>
          <w:rFonts w:ascii="Times New Roman" w:hAnsi="Times New Roman" w:cs="Times New Roman"/>
          <w:sz w:val="24"/>
        </w:rPr>
        <w:t xml:space="preserve"> (SEQs)</w:t>
      </w:r>
      <w:r w:rsidR="000647A5" w:rsidRPr="00BF60F3">
        <w:rPr>
          <w:rFonts w:ascii="Times New Roman" w:hAnsi="Times New Roman" w:cs="Times New Roman"/>
          <w:sz w:val="24"/>
        </w:rPr>
        <w:t xml:space="preserve"> give us an insight into institutional ideologies and methodologies (Magnusson, </w:t>
      </w:r>
      <w:r w:rsidR="000647A5" w:rsidRPr="00BF60F3">
        <w:rPr>
          <w:rFonts w:ascii="Times New Roman" w:hAnsi="Times New Roman" w:cs="Times New Roman"/>
          <w:sz w:val="24"/>
          <w:szCs w:val="24"/>
        </w:rPr>
        <w:t xml:space="preserve">1998) and as such the process is able to highlight both what is </w:t>
      </w:r>
      <w:r w:rsidR="000647A5" w:rsidRPr="00BF60F3">
        <w:rPr>
          <w:rFonts w:ascii="Times New Roman" w:hAnsi="Times New Roman" w:cs="Times New Roman"/>
          <w:sz w:val="24"/>
          <w:szCs w:val="24"/>
        </w:rPr>
        <w:lastRenderedPageBreak/>
        <w:t>important to the individual student and what is important to the institution</w:t>
      </w:r>
      <w:r w:rsidR="00881BC6" w:rsidRPr="00BF60F3">
        <w:rPr>
          <w:rFonts w:ascii="Times New Roman" w:hAnsi="Times New Roman" w:cs="Times New Roman"/>
          <w:sz w:val="24"/>
          <w:szCs w:val="24"/>
        </w:rPr>
        <w:t xml:space="preserve">. Student evaluations offer first hand data that can be used to enhance practice. </w:t>
      </w:r>
    </w:p>
    <w:p w:rsidR="007C58D9" w:rsidRPr="00BF60F3" w:rsidRDefault="009F4C56" w:rsidP="00C520B3">
      <w:pPr>
        <w:spacing w:after="240" w:line="240" w:lineRule="auto"/>
        <w:rPr>
          <w:rFonts w:ascii="Times New Roman" w:hAnsi="Times New Roman" w:cs="Times New Roman"/>
          <w:sz w:val="24"/>
          <w:szCs w:val="24"/>
        </w:rPr>
      </w:pPr>
      <w:r w:rsidRPr="00BF60F3">
        <w:rPr>
          <w:rFonts w:ascii="Times New Roman" w:hAnsi="Times New Roman" w:cs="Times New Roman"/>
          <w:sz w:val="24"/>
          <w:szCs w:val="24"/>
        </w:rPr>
        <w:t>Greenwald (2002) argues that SEQs are important tools for gathering the student perspe</w:t>
      </w:r>
      <w:r w:rsidR="001C02DE" w:rsidRPr="00BF60F3">
        <w:rPr>
          <w:rFonts w:ascii="Times New Roman" w:hAnsi="Times New Roman" w:cs="Times New Roman"/>
          <w:sz w:val="24"/>
          <w:szCs w:val="24"/>
        </w:rPr>
        <w:t xml:space="preserve">ctive on teaching effectiveness - a positioned that is developed through </w:t>
      </w:r>
      <w:r w:rsidRPr="00BF60F3">
        <w:rPr>
          <w:rFonts w:ascii="Times New Roman" w:hAnsi="Times New Roman" w:cs="Times New Roman"/>
          <w:sz w:val="24"/>
          <w:szCs w:val="24"/>
        </w:rPr>
        <w:t>Marsh and Bailey</w:t>
      </w:r>
      <w:r w:rsidR="001C02DE" w:rsidRPr="00BF60F3">
        <w:rPr>
          <w:rFonts w:ascii="Times New Roman" w:hAnsi="Times New Roman" w:cs="Times New Roman"/>
          <w:sz w:val="24"/>
          <w:szCs w:val="24"/>
        </w:rPr>
        <w:t>’s</w:t>
      </w:r>
      <w:r w:rsidRPr="00BF60F3">
        <w:rPr>
          <w:rFonts w:ascii="Times New Roman" w:hAnsi="Times New Roman" w:cs="Times New Roman"/>
          <w:sz w:val="24"/>
          <w:szCs w:val="24"/>
        </w:rPr>
        <w:t xml:space="preserve"> (1993) propos</w:t>
      </w:r>
      <w:r w:rsidR="001C02DE" w:rsidRPr="00BF60F3">
        <w:rPr>
          <w:rFonts w:ascii="Times New Roman" w:hAnsi="Times New Roman" w:cs="Times New Roman"/>
          <w:sz w:val="24"/>
          <w:szCs w:val="24"/>
        </w:rPr>
        <w:t>al</w:t>
      </w:r>
      <w:r w:rsidRPr="00BF60F3">
        <w:rPr>
          <w:rFonts w:ascii="Times New Roman" w:hAnsi="Times New Roman" w:cs="Times New Roman"/>
          <w:sz w:val="24"/>
          <w:szCs w:val="24"/>
        </w:rPr>
        <w:t xml:space="preserve"> that such perspectives are multi-dimensional rather than superficial in their coverage. </w:t>
      </w:r>
      <w:r w:rsidR="006020F6" w:rsidRPr="00BF60F3">
        <w:rPr>
          <w:rFonts w:ascii="Times New Roman" w:hAnsi="Times New Roman" w:cs="Times New Roman"/>
          <w:sz w:val="24"/>
          <w:szCs w:val="24"/>
        </w:rPr>
        <w:t>There is no significant difference in how students evaluate different courses or disciplines, nor does gender (the student’s or the lecturer’s) significantly impact upon evaluations (Freeman, 1994) such that “students' evaluations primarily reflect the effectiveness of the instructor rather than the influence of the course” (Marsh, 1984: 719).</w:t>
      </w:r>
      <w:r w:rsidRPr="00BF60F3">
        <w:rPr>
          <w:rFonts w:ascii="Times New Roman" w:hAnsi="Times New Roman" w:cs="Times New Roman"/>
          <w:sz w:val="24"/>
          <w:szCs w:val="24"/>
        </w:rPr>
        <w:t xml:space="preserve">The </w:t>
      </w:r>
      <w:r w:rsidR="001C02DE" w:rsidRPr="00BF60F3">
        <w:rPr>
          <w:rFonts w:ascii="Times New Roman" w:hAnsi="Times New Roman" w:cs="Times New Roman"/>
          <w:sz w:val="24"/>
          <w:szCs w:val="24"/>
        </w:rPr>
        <w:t>legitimacy</w:t>
      </w:r>
      <w:r w:rsidRPr="00BF60F3">
        <w:rPr>
          <w:rFonts w:ascii="Times New Roman" w:hAnsi="Times New Roman" w:cs="Times New Roman"/>
          <w:sz w:val="24"/>
          <w:szCs w:val="24"/>
        </w:rPr>
        <w:t xml:space="preserve"> of using SEQs as a means of hearing the student voice is </w:t>
      </w:r>
      <w:r w:rsidR="00157DA4" w:rsidRPr="00BF60F3">
        <w:rPr>
          <w:rFonts w:ascii="Times New Roman" w:hAnsi="Times New Roman" w:cs="Times New Roman"/>
          <w:sz w:val="24"/>
          <w:szCs w:val="24"/>
        </w:rPr>
        <w:t>reinforced</w:t>
      </w:r>
      <w:r w:rsidRPr="00BF60F3">
        <w:rPr>
          <w:rFonts w:ascii="Times New Roman" w:hAnsi="Times New Roman" w:cs="Times New Roman"/>
          <w:sz w:val="24"/>
          <w:szCs w:val="24"/>
        </w:rPr>
        <w:t xml:space="preserve"> by Hellman (1998) </w:t>
      </w:r>
      <w:r w:rsidR="001C02DE" w:rsidRPr="00BF60F3">
        <w:rPr>
          <w:rFonts w:ascii="Times New Roman" w:hAnsi="Times New Roman" w:cs="Times New Roman"/>
          <w:sz w:val="24"/>
          <w:szCs w:val="24"/>
        </w:rPr>
        <w:t>who repor</w:t>
      </w:r>
      <w:r w:rsidR="002A05FE" w:rsidRPr="00BF60F3">
        <w:rPr>
          <w:rFonts w:ascii="Times New Roman" w:hAnsi="Times New Roman" w:cs="Times New Roman"/>
          <w:sz w:val="24"/>
          <w:szCs w:val="24"/>
        </w:rPr>
        <w:t>ts that they offer statistical and methodological</w:t>
      </w:r>
      <w:r w:rsidR="001C02DE" w:rsidRPr="00BF60F3">
        <w:rPr>
          <w:rFonts w:ascii="Times New Roman" w:hAnsi="Times New Roman" w:cs="Times New Roman"/>
          <w:sz w:val="24"/>
          <w:szCs w:val="24"/>
        </w:rPr>
        <w:t xml:space="preserve"> validity</w:t>
      </w:r>
      <w:r w:rsidR="00157DA4" w:rsidRPr="00BF60F3">
        <w:rPr>
          <w:rFonts w:ascii="Times New Roman" w:hAnsi="Times New Roman" w:cs="Times New Roman"/>
          <w:sz w:val="24"/>
          <w:szCs w:val="24"/>
        </w:rPr>
        <w:t>;</w:t>
      </w:r>
      <w:r w:rsidR="001C02DE" w:rsidRPr="00BF60F3">
        <w:rPr>
          <w:rFonts w:ascii="Times New Roman" w:hAnsi="Times New Roman" w:cs="Times New Roman"/>
          <w:sz w:val="24"/>
          <w:szCs w:val="24"/>
        </w:rPr>
        <w:t xml:space="preserve"> which suggests that data developed from them is robust and fit for purpose. </w:t>
      </w:r>
      <w:proofErr w:type="spellStart"/>
      <w:r w:rsidR="001C02DE" w:rsidRPr="00BF60F3">
        <w:rPr>
          <w:rFonts w:ascii="Times New Roman" w:hAnsi="Times New Roman" w:cs="Times New Roman"/>
          <w:sz w:val="24"/>
          <w:szCs w:val="24"/>
        </w:rPr>
        <w:t>Piccinin</w:t>
      </w:r>
      <w:proofErr w:type="spellEnd"/>
      <w:r w:rsidR="001C02DE" w:rsidRPr="00BF60F3">
        <w:rPr>
          <w:rFonts w:ascii="Times New Roman" w:hAnsi="Times New Roman" w:cs="Times New Roman"/>
          <w:sz w:val="24"/>
          <w:szCs w:val="24"/>
        </w:rPr>
        <w:t xml:space="preserve">, </w:t>
      </w:r>
      <w:proofErr w:type="spellStart"/>
      <w:r w:rsidR="001C02DE" w:rsidRPr="00BF60F3">
        <w:rPr>
          <w:rFonts w:ascii="Times New Roman" w:hAnsi="Times New Roman" w:cs="Times New Roman"/>
          <w:sz w:val="24"/>
          <w:szCs w:val="24"/>
        </w:rPr>
        <w:t>Cristi</w:t>
      </w:r>
      <w:proofErr w:type="spellEnd"/>
      <w:r w:rsidR="001C02DE" w:rsidRPr="00BF60F3">
        <w:rPr>
          <w:rFonts w:ascii="Times New Roman" w:hAnsi="Times New Roman" w:cs="Times New Roman"/>
          <w:sz w:val="24"/>
          <w:szCs w:val="24"/>
        </w:rPr>
        <w:t xml:space="preserve"> and McCoy (1999) offer further support for the use of SEQs </w:t>
      </w:r>
      <w:r w:rsidR="00157DA4" w:rsidRPr="00BF60F3">
        <w:rPr>
          <w:rFonts w:ascii="Times New Roman" w:hAnsi="Times New Roman" w:cs="Times New Roman"/>
          <w:sz w:val="24"/>
          <w:szCs w:val="24"/>
        </w:rPr>
        <w:t>in discussing</w:t>
      </w:r>
      <w:r w:rsidR="001C02DE" w:rsidRPr="00BF60F3">
        <w:rPr>
          <w:rFonts w:ascii="Times New Roman" w:hAnsi="Times New Roman" w:cs="Times New Roman"/>
          <w:sz w:val="24"/>
          <w:szCs w:val="24"/>
        </w:rPr>
        <w:t xml:space="preserve"> their reliability and </w:t>
      </w:r>
      <w:r w:rsidR="00157DA4" w:rsidRPr="00BF60F3">
        <w:rPr>
          <w:rFonts w:ascii="Times New Roman" w:hAnsi="Times New Roman" w:cs="Times New Roman"/>
          <w:sz w:val="24"/>
          <w:szCs w:val="24"/>
        </w:rPr>
        <w:t xml:space="preserve">ability to garner valuable insight. </w:t>
      </w:r>
    </w:p>
    <w:p w:rsidR="007C58D9" w:rsidRPr="00BF60F3" w:rsidRDefault="00C520B3" w:rsidP="00C520B3">
      <w:pPr>
        <w:spacing w:after="240" w:line="240" w:lineRule="auto"/>
        <w:rPr>
          <w:rFonts w:ascii="Times New Roman" w:hAnsi="Times New Roman" w:cs="Times New Roman"/>
          <w:sz w:val="24"/>
          <w:szCs w:val="24"/>
        </w:rPr>
      </w:pPr>
      <w:r w:rsidRPr="00BF60F3">
        <w:rPr>
          <w:rFonts w:ascii="Times New Roman" w:hAnsi="Times New Roman" w:cs="Times New Roman"/>
          <w:sz w:val="24"/>
          <w:szCs w:val="24"/>
        </w:rPr>
        <w:t xml:space="preserve">Whilst there may be debate in some areas regarding the use of SEQs, in a meta-analysis and review of the literature, </w:t>
      </w:r>
      <w:proofErr w:type="spellStart"/>
      <w:r w:rsidRPr="00BF60F3">
        <w:rPr>
          <w:rFonts w:ascii="Times New Roman" w:hAnsi="Times New Roman" w:cs="Times New Roman"/>
          <w:sz w:val="24"/>
          <w:szCs w:val="24"/>
        </w:rPr>
        <w:t>Clayson</w:t>
      </w:r>
      <w:proofErr w:type="spellEnd"/>
      <w:r w:rsidRPr="00BF60F3">
        <w:rPr>
          <w:rFonts w:ascii="Times New Roman" w:hAnsi="Times New Roman" w:cs="Times New Roman"/>
          <w:sz w:val="24"/>
          <w:szCs w:val="24"/>
        </w:rPr>
        <w:t xml:space="preserve"> (2008) found that whilst students do not always ‘hold a realistic evaluation of their own learning’ (p. 27) there is a clear relationship between learning and student evaluations and that SEQs are valid instruments for measuring this. </w:t>
      </w:r>
      <w:r w:rsidR="006020F6" w:rsidRPr="00BF60F3">
        <w:rPr>
          <w:rFonts w:ascii="Times New Roman" w:hAnsi="Times New Roman" w:cs="Times New Roman"/>
          <w:sz w:val="24"/>
          <w:szCs w:val="24"/>
        </w:rPr>
        <w:t>SEQs offer a secure and anonymous method for students to give feedback on courses and lecturers (Weinberg, Hashimoto, &amp; Fleisher, 2009; Marsh, 1987) and ‘evaluation systems place a high premium on confidentiality and nondisclosure’ (</w:t>
      </w:r>
      <w:proofErr w:type="spellStart"/>
      <w:r w:rsidR="006020F6" w:rsidRPr="00BF60F3">
        <w:rPr>
          <w:rFonts w:ascii="Times New Roman" w:hAnsi="Times New Roman" w:cs="Times New Roman"/>
          <w:sz w:val="24"/>
          <w:szCs w:val="24"/>
        </w:rPr>
        <w:t>Clayson</w:t>
      </w:r>
      <w:proofErr w:type="spellEnd"/>
      <w:r w:rsidR="00546CA4" w:rsidRPr="00BF60F3">
        <w:rPr>
          <w:rFonts w:ascii="Times New Roman" w:hAnsi="Times New Roman" w:cs="Times New Roman"/>
          <w:sz w:val="24"/>
          <w:szCs w:val="24"/>
        </w:rPr>
        <w:t xml:space="preserve"> </w:t>
      </w:r>
      <w:r w:rsidR="006020F6" w:rsidRPr="00BF60F3">
        <w:rPr>
          <w:rFonts w:ascii="Times New Roman" w:hAnsi="Times New Roman" w:cs="Times New Roman"/>
          <w:sz w:val="24"/>
          <w:szCs w:val="24"/>
        </w:rPr>
        <w:t xml:space="preserve">&amp; Haley, 2011: 105). In their study of 1246 students using paper-based SEQs, Layne, </w:t>
      </w:r>
      <w:proofErr w:type="spellStart"/>
      <w:r w:rsidR="006020F6" w:rsidRPr="00BF60F3">
        <w:rPr>
          <w:rFonts w:ascii="Times New Roman" w:hAnsi="Times New Roman" w:cs="Times New Roman"/>
          <w:sz w:val="24"/>
          <w:szCs w:val="24"/>
        </w:rPr>
        <w:t>DeCristoforo</w:t>
      </w:r>
      <w:proofErr w:type="spellEnd"/>
      <w:r w:rsidR="006020F6" w:rsidRPr="00BF60F3">
        <w:rPr>
          <w:rFonts w:ascii="Times New Roman" w:hAnsi="Times New Roman" w:cs="Times New Roman"/>
          <w:sz w:val="24"/>
          <w:szCs w:val="24"/>
        </w:rPr>
        <w:t xml:space="preserve"> and </w:t>
      </w:r>
      <w:proofErr w:type="spellStart"/>
      <w:r w:rsidR="006020F6" w:rsidRPr="00BF60F3">
        <w:rPr>
          <w:rFonts w:ascii="Times New Roman" w:hAnsi="Times New Roman" w:cs="Times New Roman"/>
          <w:sz w:val="24"/>
          <w:szCs w:val="24"/>
        </w:rPr>
        <w:t>McGinty</w:t>
      </w:r>
      <w:proofErr w:type="spellEnd"/>
      <w:r w:rsidR="006020F6" w:rsidRPr="00BF60F3">
        <w:rPr>
          <w:rFonts w:ascii="Times New Roman" w:hAnsi="Times New Roman" w:cs="Times New Roman"/>
          <w:sz w:val="24"/>
          <w:szCs w:val="24"/>
        </w:rPr>
        <w:t xml:space="preserve"> (1999) reported that 87% of the students perceived the SEQs allowed them to give anonymous feedback. Thus, not only is the use of SEQs secure in relation to quality assurance but SEQs are also generally perceived to be anonymous – thus increasing the likelihood of students answering them truthfully. </w:t>
      </w:r>
    </w:p>
    <w:p w:rsidR="00746B02" w:rsidRPr="00BF60F3" w:rsidRDefault="00B233E7" w:rsidP="00C520B3">
      <w:pPr>
        <w:spacing w:after="240" w:line="240" w:lineRule="auto"/>
        <w:rPr>
          <w:rFonts w:ascii="Times New Roman" w:hAnsi="Times New Roman" w:cs="Times New Roman"/>
          <w:sz w:val="24"/>
          <w:szCs w:val="24"/>
        </w:rPr>
      </w:pPr>
      <w:r w:rsidRPr="00BF60F3">
        <w:rPr>
          <w:rFonts w:ascii="Times New Roman" w:hAnsi="Times New Roman" w:cs="Times New Roman"/>
          <w:sz w:val="24"/>
          <w:szCs w:val="24"/>
        </w:rPr>
        <w:t xml:space="preserve">Emery, Kramer and </w:t>
      </w:r>
      <w:proofErr w:type="spellStart"/>
      <w:r w:rsidRPr="00BF60F3">
        <w:rPr>
          <w:rFonts w:ascii="Times New Roman" w:hAnsi="Times New Roman" w:cs="Times New Roman"/>
          <w:sz w:val="24"/>
          <w:szCs w:val="24"/>
        </w:rPr>
        <w:t>Tian</w:t>
      </w:r>
      <w:proofErr w:type="spellEnd"/>
      <w:r w:rsidRPr="00BF60F3">
        <w:rPr>
          <w:rFonts w:ascii="Times New Roman" w:hAnsi="Times New Roman" w:cs="Times New Roman"/>
          <w:sz w:val="24"/>
          <w:szCs w:val="24"/>
        </w:rPr>
        <w:t xml:space="preserve"> (2003) </w:t>
      </w:r>
      <w:r w:rsidR="00157DA4" w:rsidRPr="00BF60F3">
        <w:rPr>
          <w:rFonts w:ascii="Times New Roman" w:hAnsi="Times New Roman" w:cs="Times New Roman"/>
          <w:sz w:val="24"/>
          <w:szCs w:val="24"/>
        </w:rPr>
        <w:t xml:space="preserve">suggest that </w:t>
      </w:r>
      <w:r w:rsidRPr="00BF60F3">
        <w:rPr>
          <w:rFonts w:ascii="Times New Roman" w:hAnsi="Times New Roman" w:cs="Times New Roman"/>
          <w:sz w:val="24"/>
          <w:szCs w:val="24"/>
        </w:rPr>
        <w:t>teaching effectiveness c</w:t>
      </w:r>
      <w:r w:rsidR="006020F6" w:rsidRPr="00BF60F3">
        <w:rPr>
          <w:rFonts w:ascii="Times New Roman" w:hAnsi="Times New Roman" w:cs="Times New Roman"/>
          <w:sz w:val="24"/>
          <w:szCs w:val="24"/>
        </w:rPr>
        <w:t>an only be assessed on outcomes</w:t>
      </w:r>
      <w:r w:rsidR="00BF6F5B" w:rsidRPr="00BF60F3">
        <w:rPr>
          <w:rFonts w:ascii="Times New Roman" w:hAnsi="Times New Roman" w:cs="Times New Roman"/>
          <w:sz w:val="24"/>
          <w:szCs w:val="24"/>
        </w:rPr>
        <w:t xml:space="preserve"> and </w:t>
      </w:r>
      <w:r w:rsidRPr="00BF60F3">
        <w:rPr>
          <w:rFonts w:ascii="Times New Roman" w:hAnsi="Times New Roman" w:cs="Times New Roman"/>
          <w:sz w:val="24"/>
          <w:szCs w:val="24"/>
        </w:rPr>
        <w:t xml:space="preserve">their key criticism </w:t>
      </w:r>
      <w:r w:rsidR="00746B02" w:rsidRPr="00BF60F3">
        <w:rPr>
          <w:rFonts w:ascii="Times New Roman" w:hAnsi="Times New Roman" w:cs="Times New Roman"/>
          <w:sz w:val="24"/>
          <w:szCs w:val="24"/>
        </w:rPr>
        <w:t xml:space="preserve">of student evaluation systems </w:t>
      </w:r>
      <w:r w:rsidRPr="00BF60F3">
        <w:rPr>
          <w:rFonts w:ascii="Times New Roman" w:hAnsi="Times New Roman" w:cs="Times New Roman"/>
          <w:sz w:val="24"/>
          <w:szCs w:val="24"/>
        </w:rPr>
        <w:t>is not about the way that the data is gathered but abou</w:t>
      </w:r>
      <w:r w:rsidR="006020F6" w:rsidRPr="00BF60F3">
        <w:rPr>
          <w:rFonts w:ascii="Times New Roman" w:hAnsi="Times New Roman" w:cs="Times New Roman"/>
          <w:sz w:val="24"/>
          <w:szCs w:val="24"/>
        </w:rPr>
        <w:t xml:space="preserve">t the way that the data is used: moving the focus from the completion of SEQs to the implementation of the resultant data. In this regard, for a SEQ to be an effective tool, students need to perceive it to have impact. If students don’t feel that their feedback is having an impact on the course or enhancing its teaching then they may be less likely to complete future SEQs (Spencer &amp; </w:t>
      </w:r>
      <w:proofErr w:type="spellStart"/>
      <w:r w:rsidR="006020F6" w:rsidRPr="00BF60F3">
        <w:rPr>
          <w:rFonts w:ascii="Times New Roman" w:hAnsi="Times New Roman" w:cs="Times New Roman"/>
          <w:sz w:val="24"/>
          <w:szCs w:val="24"/>
        </w:rPr>
        <w:t>Schmelkin</w:t>
      </w:r>
      <w:proofErr w:type="spellEnd"/>
      <w:r w:rsidR="006020F6" w:rsidRPr="00BF60F3">
        <w:rPr>
          <w:rFonts w:ascii="Times New Roman" w:hAnsi="Times New Roman" w:cs="Times New Roman"/>
          <w:sz w:val="24"/>
          <w:szCs w:val="24"/>
        </w:rPr>
        <w:t xml:space="preserve">, 2002). </w:t>
      </w:r>
      <w:r w:rsidRPr="00BF60F3">
        <w:rPr>
          <w:rFonts w:ascii="Times New Roman" w:hAnsi="Times New Roman" w:cs="Times New Roman"/>
          <w:sz w:val="24"/>
          <w:szCs w:val="24"/>
        </w:rPr>
        <w:t xml:space="preserve"> </w:t>
      </w:r>
      <w:r w:rsidR="00C520B3" w:rsidRPr="00BF60F3">
        <w:rPr>
          <w:rFonts w:ascii="Times New Roman" w:hAnsi="Times New Roman" w:cs="Times New Roman"/>
          <w:sz w:val="24"/>
          <w:szCs w:val="24"/>
        </w:rPr>
        <w:t xml:space="preserve">In all we can see that SEQs </w:t>
      </w:r>
      <w:r w:rsidR="002A05FE" w:rsidRPr="00BF60F3">
        <w:rPr>
          <w:rFonts w:ascii="Times New Roman" w:hAnsi="Times New Roman" w:cs="Times New Roman"/>
          <w:sz w:val="24"/>
          <w:szCs w:val="24"/>
        </w:rPr>
        <w:t xml:space="preserve">empower students through giving them a voice with which to assess their own experience of </w:t>
      </w:r>
      <w:proofErr w:type="gramStart"/>
      <w:r w:rsidR="002A05FE" w:rsidRPr="00BF60F3">
        <w:rPr>
          <w:rFonts w:ascii="Times New Roman" w:hAnsi="Times New Roman" w:cs="Times New Roman"/>
          <w:sz w:val="24"/>
          <w:szCs w:val="24"/>
        </w:rPr>
        <w:t>learning</w:t>
      </w:r>
      <w:proofErr w:type="gramEnd"/>
      <w:r w:rsidR="002A05FE" w:rsidRPr="00BF60F3">
        <w:rPr>
          <w:rFonts w:ascii="Times New Roman" w:hAnsi="Times New Roman" w:cs="Times New Roman"/>
          <w:sz w:val="24"/>
          <w:szCs w:val="24"/>
        </w:rPr>
        <w:t xml:space="preserve"> (Tucker, Jones &amp; </w:t>
      </w:r>
      <w:proofErr w:type="spellStart"/>
      <w:r w:rsidR="002A05FE" w:rsidRPr="00BF60F3">
        <w:rPr>
          <w:rFonts w:ascii="Times New Roman" w:hAnsi="Times New Roman" w:cs="Times New Roman"/>
          <w:sz w:val="24"/>
          <w:szCs w:val="24"/>
        </w:rPr>
        <w:t>Staker</w:t>
      </w:r>
      <w:proofErr w:type="spellEnd"/>
      <w:r w:rsidR="002A05FE" w:rsidRPr="00BF60F3">
        <w:rPr>
          <w:rFonts w:ascii="Times New Roman" w:hAnsi="Times New Roman" w:cs="Times New Roman"/>
          <w:sz w:val="24"/>
          <w:szCs w:val="24"/>
        </w:rPr>
        <w:t>, 2008) but that there needs to be clear consideration given regarding what is done with the resultant data.</w:t>
      </w:r>
    </w:p>
    <w:p w:rsidR="006020F6" w:rsidRPr="00BF60F3" w:rsidRDefault="006020F6" w:rsidP="00C520B3">
      <w:pPr>
        <w:spacing w:after="240" w:line="240" w:lineRule="auto"/>
        <w:rPr>
          <w:rFonts w:ascii="Times New Roman" w:hAnsi="Times New Roman" w:cs="Times New Roman"/>
          <w:sz w:val="24"/>
          <w:szCs w:val="24"/>
        </w:rPr>
      </w:pPr>
      <w:r w:rsidRPr="00BF60F3">
        <w:rPr>
          <w:rFonts w:ascii="Times New Roman" w:hAnsi="Times New Roman" w:cs="Times New Roman"/>
          <w:sz w:val="24"/>
          <w:szCs w:val="24"/>
        </w:rPr>
        <w:t>Academic failure is not just a matter of academic weakness and has been linked to a number of different social, cultural, cognitive and affective constructs, inter alia,</w:t>
      </w:r>
      <w:r w:rsidR="00213FD0" w:rsidRPr="00BF60F3">
        <w:rPr>
          <w:rFonts w:ascii="Times New Roman" w:hAnsi="Times New Roman" w:cs="Times New Roman"/>
          <w:sz w:val="24"/>
          <w:szCs w:val="24"/>
        </w:rPr>
        <w:t xml:space="preserve"> levels of effort (</w:t>
      </w:r>
      <w:proofErr w:type="spellStart"/>
      <w:r w:rsidR="00213FD0" w:rsidRPr="00BF60F3">
        <w:rPr>
          <w:rFonts w:ascii="Times New Roman" w:hAnsi="Times New Roman" w:cs="Times New Roman"/>
          <w:sz w:val="24"/>
          <w:szCs w:val="24"/>
        </w:rPr>
        <w:t>Bornholt</w:t>
      </w:r>
      <w:proofErr w:type="spellEnd"/>
      <w:r w:rsidR="00213FD0" w:rsidRPr="00BF60F3">
        <w:rPr>
          <w:rFonts w:ascii="Times New Roman" w:hAnsi="Times New Roman" w:cs="Times New Roman"/>
          <w:sz w:val="24"/>
          <w:szCs w:val="24"/>
        </w:rPr>
        <w:t xml:space="preserve"> &amp; </w:t>
      </w:r>
      <w:proofErr w:type="spellStart"/>
      <w:r w:rsidRPr="00BF60F3">
        <w:rPr>
          <w:rFonts w:ascii="Times New Roman" w:hAnsi="Times New Roman" w:cs="Times New Roman"/>
          <w:sz w:val="24"/>
          <w:szCs w:val="24"/>
        </w:rPr>
        <w:t>Möller</w:t>
      </w:r>
      <w:proofErr w:type="spellEnd"/>
      <w:r w:rsidRPr="00BF60F3">
        <w:rPr>
          <w:rFonts w:ascii="Times New Roman" w:hAnsi="Times New Roman" w:cs="Times New Roman"/>
          <w:sz w:val="24"/>
          <w:szCs w:val="24"/>
        </w:rPr>
        <w:t xml:space="preserve">, 2003); levels of goal-orientation (Turner, </w:t>
      </w:r>
      <w:proofErr w:type="spellStart"/>
      <w:r w:rsidRPr="00BF60F3">
        <w:rPr>
          <w:rFonts w:ascii="Times New Roman" w:hAnsi="Times New Roman" w:cs="Times New Roman"/>
          <w:sz w:val="24"/>
          <w:szCs w:val="24"/>
        </w:rPr>
        <w:t>Husman</w:t>
      </w:r>
      <w:proofErr w:type="spellEnd"/>
      <w:r w:rsidRPr="00BF60F3">
        <w:rPr>
          <w:rFonts w:ascii="Times New Roman" w:hAnsi="Times New Roman" w:cs="Times New Roman"/>
          <w:sz w:val="24"/>
          <w:szCs w:val="24"/>
        </w:rPr>
        <w:t xml:space="preserve"> &amp; </w:t>
      </w:r>
      <w:proofErr w:type="spellStart"/>
      <w:r w:rsidRPr="00BF60F3">
        <w:rPr>
          <w:rFonts w:ascii="Times New Roman" w:hAnsi="Times New Roman" w:cs="Times New Roman"/>
          <w:sz w:val="24"/>
          <w:szCs w:val="24"/>
        </w:rPr>
        <w:t>Schallert</w:t>
      </w:r>
      <w:proofErr w:type="spellEnd"/>
      <w:r w:rsidRPr="00BF60F3">
        <w:rPr>
          <w:rFonts w:ascii="Times New Roman" w:hAnsi="Times New Roman" w:cs="Times New Roman"/>
          <w:sz w:val="24"/>
          <w:szCs w:val="24"/>
        </w:rPr>
        <w:t>, 2002), and group norms and expectations (Mortenson, 2006). And, more likely, failure is the blending of these (and other) constructs to develop multi-dimensional interrelationships that incline towards fai</w:t>
      </w:r>
      <w:r w:rsidR="00213FD0" w:rsidRPr="00BF60F3">
        <w:rPr>
          <w:rFonts w:ascii="Times New Roman" w:hAnsi="Times New Roman" w:cs="Times New Roman"/>
          <w:sz w:val="24"/>
          <w:szCs w:val="24"/>
        </w:rPr>
        <w:t>lure (Forsyth, Story, Kelley &amp;</w:t>
      </w:r>
      <w:r w:rsidRPr="00BF60F3">
        <w:rPr>
          <w:rFonts w:ascii="Times New Roman" w:hAnsi="Times New Roman" w:cs="Times New Roman"/>
          <w:sz w:val="24"/>
          <w:szCs w:val="24"/>
        </w:rPr>
        <w:t xml:space="preserve"> McM</w:t>
      </w:r>
      <w:r w:rsidR="004A4380" w:rsidRPr="00BF60F3">
        <w:rPr>
          <w:rFonts w:ascii="Times New Roman" w:hAnsi="Times New Roman" w:cs="Times New Roman"/>
          <w:sz w:val="24"/>
          <w:szCs w:val="24"/>
        </w:rPr>
        <w:t>illan, 2009; Ling, Heffernan &amp;</w:t>
      </w:r>
      <w:r w:rsidRPr="00BF60F3">
        <w:rPr>
          <w:rFonts w:ascii="Times New Roman" w:hAnsi="Times New Roman" w:cs="Times New Roman"/>
          <w:sz w:val="24"/>
          <w:szCs w:val="24"/>
        </w:rPr>
        <w:t xml:space="preserve"> </w:t>
      </w:r>
      <w:proofErr w:type="spellStart"/>
      <w:r w:rsidRPr="00BF60F3">
        <w:rPr>
          <w:rFonts w:ascii="Times New Roman" w:hAnsi="Times New Roman" w:cs="Times New Roman"/>
          <w:sz w:val="24"/>
          <w:szCs w:val="24"/>
        </w:rPr>
        <w:t>Muncer</w:t>
      </w:r>
      <w:proofErr w:type="spellEnd"/>
      <w:r w:rsidRPr="00BF60F3">
        <w:rPr>
          <w:rFonts w:ascii="Times New Roman" w:hAnsi="Times New Roman" w:cs="Times New Roman"/>
          <w:sz w:val="24"/>
          <w:szCs w:val="24"/>
        </w:rPr>
        <w:t xml:space="preserve">, 2003; </w:t>
      </w:r>
      <w:proofErr w:type="spellStart"/>
      <w:r w:rsidRPr="00BF60F3">
        <w:rPr>
          <w:rFonts w:ascii="Times New Roman" w:hAnsi="Times New Roman" w:cs="Times New Roman"/>
          <w:sz w:val="24"/>
          <w:szCs w:val="24"/>
        </w:rPr>
        <w:t>Wimshurst</w:t>
      </w:r>
      <w:proofErr w:type="spellEnd"/>
      <w:r w:rsidRPr="00BF60F3">
        <w:rPr>
          <w:rFonts w:ascii="Times New Roman" w:hAnsi="Times New Roman" w:cs="Times New Roman"/>
          <w:sz w:val="24"/>
          <w:szCs w:val="24"/>
        </w:rPr>
        <w:t xml:space="preserve"> &amp; Allard, 2008). Moreover, studies have found a rather vicious circle regarding how students consider failure, in that students who become preoccupied with possible failure have higher failure rates (St</w:t>
      </w:r>
      <w:r w:rsidR="004A4380" w:rsidRPr="00BF60F3">
        <w:rPr>
          <w:rFonts w:ascii="Times New Roman" w:hAnsi="Times New Roman" w:cs="Times New Roman"/>
          <w:sz w:val="24"/>
          <w:szCs w:val="24"/>
        </w:rPr>
        <w:t xml:space="preserve">ruthers, </w:t>
      </w:r>
      <w:proofErr w:type="spellStart"/>
      <w:r w:rsidR="004A4380" w:rsidRPr="00BF60F3">
        <w:rPr>
          <w:rFonts w:ascii="Times New Roman" w:hAnsi="Times New Roman" w:cs="Times New Roman"/>
          <w:sz w:val="24"/>
          <w:szCs w:val="24"/>
        </w:rPr>
        <w:t>Menec</w:t>
      </w:r>
      <w:proofErr w:type="spellEnd"/>
      <w:r w:rsidR="004A4380" w:rsidRPr="00BF60F3">
        <w:rPr>
          <w:rFonts w:ascii="Times New Roman" w:hAnsi="Times New Roman" w:cs="Times New Roman"/>
          <w:sz w:val="24"/>
          <w:szCs w:val="24"/>
        </w:rPr>
        <w:t xml:space="preserve">, </w:t>
      </w:r>
      <w:proofErr w:type="spellStart"/>
      <w:r w:rsidR="004A4380" w:rsidRPr="00BF60F3">
        <w:rPr>
          <w:rFonts w:ascii="Times New Roman" w:hAnsi="Times New Roman" w:cs="Times New Roman"/>
          <w:sz w:val="24"/>
          <w:szCs w:val="24"/>
        </w:rPr>
        <w:t>Schönwetter</w:t>
      </w:r>
      <w:proofErr w:type="spellEnd"/>
      <w:r w:rsidR="004A4380" w:rsidRPr="00BF60F3">
        <w:rPr>
          <w:rFonts w:ascii="Times New Roman" w:hAnsi="Times New Roman" w:cs="Times New Roman"/>
          <w:sz w:val="24"/>
          <w:szCs w:val="24"/>
        </w:rPr>
        <w:t xml:space="preserve"> &amp; </w:t>
      </w:r>
      <w:r w:rsidRPr="00BF60F3">
        <w:rPr>
          <w:rFonts w:ascii="Times New Roman" w:hAnsi="Times New Roman" w:cs="Times New Roman"/>
          <w:sz w:val="24"/>
          <w:szCs w:val="24"/>
        </w:rPr>
        <w:t xml:space="preserve">Perry, 1996; Weiner, 1995). In all, we find that </w:t>
      </w:r>
      <w:r w:rsidRPr="00BF60F3">
        <w:rPr>
          <w:rFonts w:ascii="Times New Roman" w:hAnsi="Times New Roman" w:cs="Times New Roman"/>
          <w:sz w:val="24"/>
          <w:szCs w:val="24"/>
        </w:rPr>
        <w:lastRenderedPageBreak/>
        <w:t>academic failure is a complicated issue and the ‘problem’ of failure is ripe for further scrutiny. Exploration of all the causes of failure is outside the remit of this research but through problematizing links between courses with high failure rates and students’ perceptions of the teaching they received, it is hoped that some light will be shone into this dark corner.</w:t>
      </w:r>
    </w:p>
    <w:p w:rsidR="00725451" w:rsidRPr="00BF60F3" w:rsidRDefault="00616B81" w:rsidP="006A60ED">
      <w:pPr>
        <w:spacing w:after="240" w:line="240" w:lineRule="auto"/>
        <w:rPr>
          <w:rFonts w:ascii="Times New Roman" w:hAnsi="Times New Roman" w:cs="Times New Roman"/>
          <w:sz w:val="24"/>
        </w:rPr>
      </w:pPr>
      <w:r w:rsidRPr="00BF60F3">
        <w:rPr>
          <w:rFonts w:ascii="Times New Roman" w:hAnsi="Times New Roman" w:cs="Times New Roman"/>
          <w:sz w:val="24"/>
          <w:szCs w:val="24"/>
        </w:rPr>
        <w:t>This paper discusses the use of SEQs as a means to offer student-centred feedback</w:t>
      </w:r>
      <w:r w:rsidRPr="00BF60F3">
        <w:rPr>
          <w:rFonts w:ascii="Times New Roman" w:hAnsi="Times New Roman" w:cs="Times New Roman"/>
          <w:sz w:val="24"/>
        </w:rPr>
        <w:t xml:space="preserve"> on courses with high failure rates and resultant guidance on how students feel such courses can be improved</w:t>
      </w:r>
      <w:r w:rsidR="00BF6F5B" w:rsidRPr="00BF60F3">
        <w:rPr>
          <w:rFonts w:ascii="Times New Roman" w:hAnsi="Times New Roman" w:cs="Times New Roman"/>
          <w:sz w:val="24"/>
        </w:rPr>
        <w:t>. A</w:t>
      </w:r>
      <w:r w:rsidR="00C520B3" w:rsidRPr="00BF60F3">
        <w:rPr>
          <w:rFonts w:ascii="Times New Roman" w:hAnsi="Times New Roman" w:cs="Times New Roman"/>
          <w:sz w:val="24"/>
        </w:rPr>
        <w:t>s such it takes SEQs to be valid and reliable tools (Greenwald, 2002; Marsh &amp; Bailey, 1993; Hellman, 1998;</w:t>
      </w:r>
      <w:r w:rsidR="00C520B3" w:rsidRPr="00BF60F3">
        <w:t xml:space="preserve"> </w:t>
      </w:r>
      <w:proofErr w:type="spellStart"/>
      <w:r w:rsidR="00C520B3" w:rsidRPr="00BF60F3">
        <w:rPr>
          <w:rFonts w:ascii="Times New Roman" w:hAnsi="Times New Roman" w:cs="Times New Roman"/>
          <w:sz w:val="24"/>
        </w:rPr>
        <w:t>Piccinin</w:t>
      </w:r>
      <w:proofErr w:type="spellEnd"/>
      <w:r w:rsidR="00C520B3" w:rsidRPr="00BF60F3">
        <w:rPr>
          <w:rFonts w:ascii="Times New Roman" w:hAnsi="Times New Roman" w:cs="Times New Roman"/>
          <w:sz w:val="24"/>
        </w:rPr>
        <w:t xml:space="preserve">, </w:t>
      </w:r>
      <w:proofErr w:type="spellStart"/>
      <w:r w:rsidR="00C520B3" w:rsidRPr="00BF60F3">
        <w:rPr>
          <w:rFonts w:ascii="Times New Roman" w:hAnsi="Times New Roman" w:cs="Times New Roman"/>
          <w:sz w:val="24"/>
        </w:rPr>
        <w:t>Cristi</w:t>
      </w:r>
      <w:proofErr w:type="spellEnd"/>
      <w:r w:rsidR="00C520B3" w:rsidRPr="00BF60F3">
        <w:rPr>
          <w:rFonts w:ascii="Times New Roman" w:hAnsi="Times New Roman" w:cs="Times New Roman"/>
          <w:sz w:val="24"/>
        </w:rPr>
        <w:t xml:space="preserve"> &amp; McCoy</w:t>
      </w:r>
      <w:proofErr w:type="gramStart"/>
      <w:r w:rsidR="00C520B3" w:rsidRPr="00BF60F3">
        <w:rPr>
          <w:rFonts w:ascii="Times New Roman" w:hAnsi="Times New Roman" w:cs="Times New Roman"/>
          <w:sz w:val="24"/>
        </w:rPr>
        <w:t>,1999</w:t>
      </w:r>
      <w:proofErr w:type="gramEnd"/>
      <w:r w:rsidR="00C520B3" w:rsidRPr="00BF60F3">
        <w:rPr>
          <w:rFonts w:ascii="Times New Roman" w:hAnsi="Times New Roman" w:cs="Times New Roman"/>
          <w:sz w:val="24"/>
        </w:rPr>
        <w:t xml:space="preserve">) whilst addressing </w:t>
      </w:r>
      <w:proofErr w:type="spellStart"/>
      <w:r w:rsidR="00C520B3" w:rsidRPr="00BF60F3">
        <w:rPr>
          <w:rFonts w:ascii="Times New Roman" w:hAnsi="Times New Roman" w:cs="Times New Roman"/>
          <w:sz w:val="24"/>
        </w:rPr>
        <w:t>Clayson’s</w:t>
      </w:r>
      <w:proofErr w:type="spellEnd"/>
      <w:r w:rsidR="00C520B3" w:rsidRPr="00BF60F3">
        <w:rPr>
          <w:rFonts w:ascii="Times New Roman" w:hAnsi="Times New Roman" w:cs="Times New Roman"/>
          <w:sz w:val="24"/>
        </w:rPr>
        <w:t xml:space="preserve"> (2008) concerns about differences across various faculty by using data from a broad spread of courses</w:t>
      </w:r>
      <w:r w:rsidRPr="00BF60F3">
        <w:rPr>
          <w:rFonts w:ascii="Times New Roman" w:hAnsi="Times New Roman" w:cs="Times New Roman"/>
          <w:sz w:val="24"/>
        </w:rPr>
        <w:t xml:space="preserve">. </w:t>
      </w:r>
      <w:r w:rsidR="00721E64" w:rsidRPr="00BF60F3">
        <w:rPr>
          <w:rFonts w:ascii="Times New Roman" w:hAnsi="Times New Roman" w:cs="Times New Roman"/>
          <w:sz w:val="24"/>
        </w:rPr>
        <w:t xml:space="preserve">This research adopted a phenomenological perspective, assuming that one piece of data is enriched through its interplay with other pieces of data. </w:t>
      </w:r>
      <w:r w:rsidRPr="00BF60F3">
        <w:rPr>
          <w:rFonts w:ascii="Times New Roman" w:hAnsi="Times New Roman" w:cs="Times New Roman"/>
          <w:sz w:val="24"/>
        </w:rPr>
        <w:t>Data from 1665 SEQs drawn from 38 undergraduate courses taught at a Caribbean university during semester 1 of the academic year 2011/12 was analysed to establish how students reported courses could be improved. This was done through content analysis of qualitative responses on the SEQs of 19 courses with high failure rates (≥50%) mapped against baseline data established through the analysis of 19 courses with low failure rates (≤25%).</w:t>
      </w:r>
    </w:p>
    <w:p w:rsidR="002A05FE" w:rsidRPr="00BF60F3" w:rsidRDefault="002A05FE" w:rsidP="006A60ED">
      <w:pPr>
        <w:spacing w:after="240" w:line="240" w:lineRule="auto"/>
        <w:rPr>
          <w:rFonts w:ascii="Times New Roman" w:hAnsi="Times New Roman" w:cs="Times New Roman"/>
          <w:sz w:val="24"/>
        </w:rPr>
      </w:pPr>
      <w:r w:rsidRPr="00BF60F3">
        <w:rPr>
          <w:rFonts w:ascii="Times New Roman" w:hAnsi="Times New Roman" w:cs="Times New Roman"/>
          <w:sz w:val="24"/>
        </w:rPr>
        <w:t xml:space="preserve">This research aimed to establish how students on courses with high failure rates felt </w:t>
      </w:r>
      <w:r w:rsidR="00BF6F5B" w:rsidRPr="00BF60F3">
        <w:rPr>
          <w:rFonts w:ascii="Times New Roman" w:hAnsi="Times New Roman" w:cs="Times New Roman"/>
          <w:sz w:val="24"/>
        </w:rPr>
        <w:t xml:space="preserve">the teaching on </w:t>
      </w:r>
      <w:r w:rsidR="00E3169D" w:rsidRPr="00BF60F3">
        <w:rPr>
          <w:rFonts w:ascii="Times New Roman" w:hAnsi="Times New Roman" w:cs="Times New Roman"/>
          <w:sz w:val="24"/>
        </w:rPr>
        <w:t xml:space="preserve">these </w:t>
      </w:r>
      <w:r w:rsidRPr="00BF60F3">
        <w:rPr>
          <w:rFonts w:ascii="Times New Roman" w:hAnsi="Times New Roman" w:cs="Times New Roman"/>
          <w:sz w:val="24"/>
        </w:rPr>
        <w:t xml:space="preserve">courses could </w:t>
      </w:r>
      <w:r w:rsidR="00BF6F5B" w:rsidRPr="00BF60F3">
        <w:rPr>
          <w:rFonts w:ascii="Times New Roman" w:hAnsi="Times New Roman" w:cs="Times New Roman"/>
          <w:sz w:val="24"/>
        </w:rPr>
        <w:t>be enhanced</w:t>
      </w:r>
      <w:r w:rsidRPr="00BF60F3">
        <w:rPr>
          <w:rFonts w:ascii="Times New Roman" w:hAnsi="Times New Roman" w:cs="Times New Roman"/>
          <w:sz w:val="24"/>
        </w:rPr>
        <w:t xml:space="preserve"> by examining their responses to one question on their </w:t>
      </w:r>
      <w:r w:rsidR="00E3169D" w:rsidRPr="00BF60F3">
        <w:rPr>
          <w:rFonts w:ascii="Times New Roman" w:hAnsi="Times New Roman" w:cs="Times New Roman"/>
          <w:sz w:val="24"/>
        </w:rPr>
        <w:t>SEQ: ‘</w:t>
      </w:r>
      <w:r w:rsidR="00E3169D" w:rsidRPr="00BF60F3">
        <w:rPr>
          <w:rFonts w:ascii="Times New Roman" w:hAnsi="Times New Roman" w:cs="Times New Roman"/>
          <w:i/>
          <w:sz w:val="24"/>
        </w:rPr>
        <w:t>How do you think this course could be improved?</w:t>
      </w:r>
      <w:r w:rsidR="00E3169D" w:rsidRPr="00BF60F3">
        <w:rPr>
          <w:rFonts w:ascii="Times New Roman" w:hAnsi="Times New Roman" w:cs="Times New Roman"/>
          <w:sz w:val="24"/>
        </w:rPr>
        <w:t>’</w:t>
      </w:r>
    </w:p>
    <w:p w:rsidR="00616B81" w:rsidRPr="00BF60F3" w:rsidRDefault="00616B81" w:rsidP="006A60ED">
      <w:pPr>
        <w:spacing w:after="160" w:line="240" w:lineRule="auto"/>
        <w:rPr>
          <w:rFonts w:ascii="Arial" w:hAnsi="Arial" w:cs="Arial"/>
          <w:b/>
        </w:rPr>
      </w:pPr>
      <w:r w:rsidRPr="00BF60F3">
        <w:rPr>
          <w:rFonts w:ascii="Arial" w:hAnsi="Arial" w:cs="Arial"/>
          <w:b/>
        </w:rPr>
        <w:t>Student evaluations of teaching effectiveness</w:t>
      </w:r>
    </w:p>
    <w:p w:rsidR="000647A5" w:rsidRPr="00BF60F3" w:rsidRDefault="000647A5" w:rsidP="006A60ED">
      <w:pPr>
        <w:spacing w:after="240" w:line="240" w:lineRule="auto"/>
        <w:rPr>
          <w:rFonts w:ascii="Times New Roman" w:hAnsi="Times New Roman" w:cs="Times New Roman"/>
          <w:sz w:val="24"/>
        </w:rPr>
      </w:pPr>
      <w:proofErr w:type="spellStart"/>
      <w:r w:rsidRPr="00BF60F3">
        <w:rPr>
          <w:rFonts w:ascii="Times New Roman" w:hAnsi="Times New Roman" w:cs="Times New Roman"/>
          <w:sz w:val="24"/>
        </w:rPr>
        <w:t>Kotze</w:t>
      </w:r>
      <w:proofErr w:type="spellEnd"/>
      <w:r w:rsidRPr="00BF60F3">
        <w:rPr>
          <w:rFonts w:ascii="Times New Roman" w:hAnsi="Times New Roman" w:cs="Times New Roman"/>
          <w:sz w:val="24"/>
        </w:rPr>
        <w:t xml:space="preserve"> and Du Plessis (2003) found that student satisfaction is a </w:t>
      </w:r>
      <w:r w:rsidR="00725451" w:rsidRPr="00BF60F3">
        <w:rPr>
          <w:rFonts w:ascii="Times New Roman" w:hAnsi="Times New Roman" w:cs="Times New Roman"/>
          <w:sz w:val="24"/>
        </w:rPr>
        <w:t xml:space="preserve">fair </w:t>
      </w:r>
      <w:r w:rsidRPr="00BF60F3">
        <w:rPr>
          <w:rFonts w:ascii="Times New Roman" w:hAnsi="Times New Roman" w:cs="Times New Roman"/>
          <w:sz w:val="24"/>
        </w:rPr>
        <w:t xml:space="preserve">measure of teaching effectiveness and </w:t>
      </w:r>
      <w:r w:rsidR="006C21CE" w:rsidRPr="00BF60F3">
        <w:rPr>
          <w:rFonts w:ascii="Times New Roman" w:hAnsi="Times New Roman" w:cs="Times New Roman"/>
          <w:sz w:val="24"/>
        </w:rPr>
        <w:t xml:space="preserve">Richardson, </w:t>
      </w:r>
      <w:r w:rsidRPr="00BF60F3">
        <w:rPr>
          <w:rFonts w:ascii="Times New Roman" w:hAnsi="Times New Roman" w:cs="Times New Roman"/>
          <w:sz w:val="24"/>
        </w:rPr>
        <w:t>Slater and Wilson (2007) found that such satisfaction is increased in line with the support that lecturers offer and students’ perceptions of apparent teaching skills. Whilst some may question the subjective nature of such feedback, if we hope to assess the learning situation it only see</w:t>
      </w:r>
      <w:r w:rsidR="00881BC6" w:rsidRPr="00BF60F3">
        <w:rPr>
          <w:rFonts w:ascii="Times New Roman" w:hAnsi="Times New Roman" w:cs="Times New Roman"/>
          <w:sz w:val="24"/>
        </w:rPr>
        <w:t>ms right to hear the learners’ voice</w:t>
      </w:r>
      <w:r w:rsidRPr="00BF60F3">
        <w:rPr>
          <w:rFonts w:ascii="Times New Roman" w:hAnsi="Times New Roman" w:cs="Times New Roman"/>
          <w:sz w:val="24"/>
        </w:rPr>
        <w:t>. It is also worth noting that ‘when students learn more</w:t>
      </w:r>
      <w:r w:rsidR="00562D63" w:rsidRPr="00BF60F3">
        <w:rPr>
          <w:rFonts w:ascii="Times New Roman" w:hAnsi="Times New Roman" w:cs="Times New Roman"/>
          <w:sz w:val="24"/>
        </w:rPr>
        <w:t xml:space="preserve"> … </w:t>
      </w:r>
      <w:r w:rsidRPr="00BF60F3">
        <w:rPr>
          <w:rFonts w:ascii="Times New Roman" w:hAnsi="Times New Roman" w:cs="Times New Roman"/>
          <w:sz w:val="24"/>
        </w:rPr>
        <w:t>their opinion of the course/teacher will be higher’ (Patrick, 2011: 248)</w:t>
      </w:r>
      <w:r w:rsidR="00BF6F5B" w:rsidRPr="00BF60F3">
        <w:rPr>
          <w:rFonts w:ascii="Times New Roman" w:hAnsi="Times New Roman" w:cs="Times New Roman"/>
          <w:sz w:val="24"/>
        </w:rPr>
        <w:t xml:space="preserve"> such</w:t>
      </w:r>
      <w:r w:rsidR="00562D63" w:rsidRPr="00BF60F3">
        <w:rPr>
          <w:rFonts w:ascii="Times New Roman" w:hAnsi="Times New Roman" w:cs="Times New Roman"/>
          <w:sz w:val="24"/>
        </w:rPr>
        <w:t xml:space="preserve"> that student satisfaction is the result of good teaching and not the grades that a student achieves on a course. N</w:t>
      </w:r>
      <w:r w:rsidRPr="00BF60F3">
        <w:rPr>
          <w:rFonts w:ascii="Times New Roman" w:hAnsi="Times New Roman" w:cs="Times New Roman"/>
          <w:sz w:val="24"/>
        </w:rPr>
        <w:t>ot surprisingly, Richardson, Slater and Wilson (2007) found that teaching skills and teacher support showed the highest correlation with over</w:t>
      </w:r>
      <w:r w:rsidR="00562D63" w:rsidRPr="00BF60F3">
        <w:rPr>
          <w:rFonts w:ascii="Times New Roman" w:hAnsi="Times New Roman" w:cs="Times New Roman"/>
          <w:sz w:val="24"/>
        </w:rPr>
        <w:t xml:space="preserve">all satisfaction whilst research by </w:t>
      </w:r>
      <w:proofErr w:type="spellStart"/>
      <w:r w:rsidR="00562D63" w:rsidRPr="00BF60F3">
        <w:rPr>
          <w:rFonts w:ascii="Times New Roman" w:hAnsi="Times New Roman" w:cs="Times New Roman"/>
          <w:sz w:val="24"/>
        </w:rPr>
        <w:t>Furnham</w:t>
      </w:r>
      <w:proofErr w:type="spellEnd"/>
      <w:r w:rsidR="00562D63" w:rsidRPr="00BF60F3">
        <w:rPr>
          <w:rFonts w:ascii="Times New Roman" w:hAnsi="Times New Roman" w:cs="Times New Roman"/>
          <w:sz w:val="24"/>
        </w:rPr>
        <w:t xml:space="preserve"> and Chamorro-</w:t>
      </w:r>
      <w:proofErr w:type="spellStart"/>
      <w:r w:rsidR="00562D63" w:rsidRPr="00BF60F3">
        <w:rPr>
          <w:rFonts w:ascii="Times New Roman" w:hAnsi="Times New Roman" w:cs="Times New Roman"/>
          <w:sz w:val="24"/>
        </w:rPr>
        <w:t>Premuzic</w:t>
      </w:r>
      <w:proofErr w:type="spellEnd"/>
      <w:r w:rsidR="00562D63" w:rsidRPr="00BF60F3">
        <w:rPr>
          <w:rFonts w:ascii="Times New Roman" w:hAnsi="Times New Roman" w:cs="Times New Roman"/>
          <w:sz w:val="24"/>
        </w:rPr>
        <w:t xml:space="preserve"> (2005) points to what we already intuitively know - that students want lecturers who support their particular needs.</w:t>
      </w:r>
    </w:p>
    <w:p w:rsidR="00BF6F5B" w:rsidRPr="00BF60F3" w:rsidRDefault="00E408DB" w:rsidP="006A60ED">
      <w:pPr>
        <w:spacing w:after="240" w:line="240" w:lineRule="auto"/>
        <w:rPr>
          <w:rFonts w:ascii="Times New Roman" w:hAnsi="Times New Roman" w:cs="Times New Roman"/>
          <w:sz w:val="24"/>
        </w:rPr>
      </w:pPr>
      <w:r w:rsidRPr="00BF60F3">
        <w:rPr>
          <w:rFonts w:ascii="Times New Roman" w:hAnsi="Times New Roman" w:cs="Times New Roman"/>
          <w:sz w:val="24"/>
        </w:rPr>
        <w:t>Teaching influences learning and the type of teaching influences that type of learning that occurs (</w:t>
      </w:r>
      <w:proofErr w:type="spellStart"/>
      <w:r w:rsidRPr="00BF60F3">
        <w:rPr>
          <w:rFonts w:ascii="Times New Roman" w:hAnsi="Times New Roman" w:cs="Times New Roman"/>
          <w:sz w:val="24"/>
        </w:rPr>
        <w:t>Kember</w:t>
      </w:r>
      <w:proofErr w:type="spellEnd"/>
      <w:r w:rsidRPr="00BF60F3">
        <w:rPr>
          <w:rFonts w:ascii="Times New Roman" w:hAnsi="Times New Roman" w:cs="Times New Roman"/>
          <w:sz w:val="24"/>
        </w:rPr>
        <w:t xml:space="preserve">, 1997; 2000). There are many potential teaching methods available to a course lecturer and student </w:t>
      </w:r>
      <w:r w:rsidR="00616B81" w:rsidRPr="00BF60F3">
        <w:rPr>
          <w:rFonts w:ascii="Times New Roman" w:hAnsi="Times New Roman" w:cs="Times New Roman"/>
          <w:sz w:val="24"/>
        </w:rPr>
        <w:t xml:space="preserve">evaluations </w:t>
      </w:r>
      <w:r w:rsidRPr="00BF60F3">
        <w:rPr>
          <w:rFonts w:ascii="Times New Roman" w:hAnsi="Times New Roman" w:cs="Times New Roman"/>
          <w:sz w:val="24"/>
        </w:rPr>
        <w:t xml:space="preserve">can be used to help gauge their effectiveness. </w:t>
      </w:r>
      <w:r w:rsidR="00EF6467" w:rsidRPr="00BF60F3">
        <w:rPr>
          <w:rFonts w:ascii="Times New Roman" w:hAnsi="Times New Roman" w:cs="Times New Roman"/>
          <w:sz w:val="24"/>
        </w:rPr>
        <w:t xml:space="preserve">The size of the class will affect pedagogical decisions and will affect the learning environment. Likewise, certain courses can only be taught in specific situations (ICT suites, laboratories, workshops etc.); however </w:t>
      </w:r>
      <w:proofErr w:type="spellStart"/>
      <w:r w:rsidR="00EF6467" w:rsidRPr="00BF60F3">
        <w:rPr>
          <w:rFonts w:ascii="Times New Roman" w:hAnsi="Times New Roman" w:cs="Times New Roman"/>
          <w:sz w:val="24"/>
        </w:rPr>
        <w:t>Beran</w:t>
      </w:r>
      <w:proofErr w:type="spellEnd"/>
      <w:r w:rsidR="00EF6467" w:rsidRPr="00BF60F3">
        <w:rPr>
          <w:rFonts w:ascii="Times New Roman" w:hAnsi="Times New Roman" w:cs="Times New Roman"/>
          <w:sz w:val="24"/>
        </w:rPr>
        <w:t xml:space="preserve"> (2005) found no significant difference in the way that students evaluate different disciplines. While there is a negative impact of class size on student evaluations of lecturers effectiveness (</w:t>
      </w:r>
      <w:proofErr w:type="spellStart"/>
      <w:r w:rsidR="00EF6467" w:rsidRPr="00BF60F3">
        <w:rPr>
          <w:rFonts w:ascii="Times New Roman" w:hAnsi="Times New Roman" w:cs="Times New Roman"/>
          <w:sz w:val="24"/>
        </w:rPr>
        <w:t>Bedard</w:t>
      </w:r>
      <w:proofErr w:type="spellEnd"/>
      <w:r w:rsidR="00EF6467" w:rsidRPr="00BF60F3">
        <w:rPr>
          <w:rFonts w:ascii="Times New Roman" w:hAnsi="Times New Roman" w:cs="Times New Roman"/>
          <w:sz w:val="24"/>
        </w:rPr>
        <w:t xml:space="preserve"> &amp; Kuhn, 2008) this is only true up to point, after which students may feel that there are some advantages to being relatively anonymous and class size does not affect student evaluations of lecturers in upper-level courses (McPherson, Jewell &amp; Kim, 2009). Through this we can see that certain variables are always at play but globally the specifics of </w:t>
      </w:r>
      <w:r w:rsidR="00EF6467" w:rsidRPr="00BF60F3">
        <w:rPr>
          <w:rFonts w:ascii="Times New Roman" w:hAnsi="Times New Roman" w:cs="Times New Roman"/>
          <w:sz w:val="24"/>
        </w:rPr>
        <w:lastRenderedPageBreak/>
        <w:t>course content, resources and class size are not as important to student evaluat</w:t>
      </w:r>
      <w:r w:rsidR="00A0136F" w:rsidRPr="00BF60F3">
        <w:rPr>
          <w:rFonts w:ascii="Times New Roman" w:hAnsi="Times New Roman" w:cs="Times New Roman"/>
          <w:sz w:val="24"/>
        </w:rPr>
        <w:t>ions as good teaching (</w:t>
      </w:r>
      <w:proofErr w:type="spellStart"/>
      <w:r w:rsidR="00A0136F" w:rsidRPr="00BF60F3">
        <w:rPr>
          <w:rFonts w:ascii="Times New Roman" w:hAnsi="Times New Roman" w:cs="Times New Roman"/>
          <w:sz w:val="24"/>
        </w:rPr>
        <w:t>Kotze</w:t>
      </w:r>
      <w:proofErr w:type="spellEnd"/>
      <w:r w:rsidR="00A0136F" w:rsidRPr="00BF60F3">
        <w:rPr>
          <w:rFonts w:ascii="Times New Roman" w:hAnsi="Times New Roman" w:cs="Times New Roman"/>
          <w:sz w:val="24"/>
        </w:rPr>
        <w:t xml:space="preserve"> &amp;</w:t>
      </w:r>
      <w:r w:rsidR="00EF6467" w:rsidRPr="00BF60F3">
        <w:rPr>
          <w:rFonts w:ascii="Times New Roman" w:hAnsi="Times New Roman" w:cs="Times New Roman"/>
          <w:sz w:val="24"/>
        </w:rPr>
        <w:t xml:space="preserve"> Du Plessis, 2003; Marsh, 1984; Freeman, 1994).</w:t>
      </w:r>
      <w:r w:rsidRPr="00BF60F3">
        <w:rPr>
          <w:rFonts w:ascii="Times New Roman" w:hAnsi="Times New Roman" w:cs="Times New Roman"/>
          <w:sz w:val="24"/>
        </w:rPr>
        <w:t xml:space="preserve"> </w:t>
      </w:r>
    </w:p>
    <w:p w:rsidR="00E408DB" w:rsidRPr="00BF60F3" w:rsidRDefault="00E408DB" w:rsidP="006A60ED">
      <w:pPr>
        <w:spacing w:after="240" w:line="240" w:lineRule="auto"/>
        <w:rPr>
          <w:rFonts w:ascii="Times New Roman" w:hAnsi="Times New Roman" w:cs="Times New Roman"/>
          <w:b/>
          <w:sz w:val="24"/>
        </w:rPr>
      </w:pPr>
      <w:r w:rsidRPr="00BF60F3">
        <w:rPr>
          <w:rFonts w:ascii="Times New Roman" w:hAnsi="Times New Roman" w:cs="Times New Roman"/>
          <w:sz w:val="24"/>
        </w:rPr>
        <w:t xml:space="preserve">Lecturing is still a key component of </w:t>
      </w:r>
      <w:r w:rsidR="008571E2" w:rsidRPr="00BF60F3">
        <w:rPr>
          <w:rFonts w:ascii="Times New Roman" w:hAnsi="Times New Roman" w:cs="Times New Roman"/>
          <w:sz w:val="24"/>
        </w:rPr>
        <w:t xml:space="preserve">undergraduate </w:t>
      </w:r>
      <w:r w:rsidRPr="00BF60F3">
        <w:rPr>
          <w:rFonts w:ascii="Times New Roman" w:hAnsi="Times New Roman" w:cs="Times New Roman"/>
          <w:sz w:val="24"/>
        </w:rPr>
        <w:t>university education and about 80% of student-lecturer contact time occurs in the lecture theatre (</w:t>
      </w:r>
      <w:proofErr w:type="spellStart"/>
      <w:r w:rsidRPr="00BF60F3">
        <w:rPr>
          <w:rFonts w:ascii="Times New Roman" w:hAnsi="Times New Roman" w:cs="Times New Roman"/>
          <w:sz w:val="24"/>
        </w:rPr>
        <w:t>Thielens</w:t>
      </w:r>
      <w:proofErr w:type="spellEnd"/>
      <w:r w:rsidRPr="00BF60F3">
        <w:rPr>
          <w:rFonts w:ascii="Times New Roman" w:hAnsi="Times New Roman" w:cs="Times New Roman"/>
          <w:sz w:val="24"/>
        </w:rPr>
        <w:t xml:space="preserve">, 1987). Good and </w:t>
      </w:r>
      <w:proofErr w:type="spellStart"/>
      <w:r w:rsidRPr="00BF60F3">
        <w:rPr>
          <w:rFonts w:ascii="Times New Roman" w:hAnsi="Times New Roman" w:cs="Times New Roman"/>
          <w:sz w:val="24"/>
        </w:rPr>
        <w:t>Brophy</w:t>
      </w:r>
      <w:proofErr w:type="spellEnd"/>
      <w:r w:rsidRPr="00BF60F3">
        <w:rPr>
          <w:rFonts w:ascii="Times New Roman" w:hAnsi="Times New Roman" w:cs="Times New Roman"/>
          <w:sz w:val="24"/>
        </w:rPr>
        <w:t xml:space="preserve"> (2003) highlight a number of occasions where lecturing might be the best teaching technique but warn that the effectiveness of the lecture is dependent on the quality of the delivery and the quality of the preparation. </w:t>
      </w:r>
      <w:proofErr w:type="spellStart"/>
      <w:r w:rsidRPr="00BF60F3">
        <w:rPr>
          <w:rFonts w:ascii="Times New Roman" w:hAnsi="Times New Roman" w:cs="Times New Roman"/>
          <w:sz w:val="24"/>
        </w:rPr>
        <w:t>McKeachie</w:t>
      </w:r>
      <w:proofErr w:type="spellEnd"/>
      <w:r w:rsidRPr="00BF60F3">
        <w:rPr>
          <w:rFonts w:ascii="Times New Roman" w:hAnsi="Times New Roman" w:cs="Times New Roman"/>
          <w:sz w:val="24"/>
        </w:rPr>
        <w:t xml:space="preserve">, </w:t>
      </w:r>
      <w:proofErr w:type="spellStart"/>
      <w:r w:rsidRPr="00BF60F3">
        <w:rPr>
          <w:rFonts w:ascii="Times New Roman" w:hAnsi="Times New Roman" w:cs="Times New Roman"/>
          <w:sz w:val="24"/>
        </w:rPr>
        <w:t>Pintrich</w:t>
      </w:r>
      <w:proofErr w:type="spellEnd"/>
      <w:r w:rsidRPr="00BF60F3">
        <w:rPr>
          <w:rFonts w:ascii="Times New Roman" w:hAnsi="Times New Roman" w:cs="Times New Roman"/>
          <w:sz w:val="24"/>
        </w:rPr>
        <w:t>, Yi-</w:t>
      </w:r>
      <w:proofErr w:type="spellStart"/>
      <w:r w:rsidRPr="00BF60F3">
        <w:rPr>
          <w:rFonts w:ascii="Times New Roman" w:hAnsi="Times New Roman" w:cs="Times New Roman"/>
          <w:sz w:val="24"/>
        </w:rPr>
        <w:t>Guang</w:t>
      </w:r>
      <w:proofErr w:type="spellEnd"/>
      <w:r w:rsidRPr="00BF60F3">
        <w:rPr>
          <w:rFonts w:ascii="Times New Roman" w:hAnsi="Times New Roman" w:cs="Times New Roman"/>
          <w:sz w:val="24"/>
        </w:rPr>
        <w:t xml:space="preserve"> and Smith (1986) found that, when it came to remembering low-level information over short periods of time, the lecture was just as effective a tool as any other teaching method but, that the content of these lectures was not retained by the students for very long. This suggests that a second stage of teaching (perhaps a tutorial) would be a useful method for helping concretise the lecture information. Tutorials should not be a mere extension of the lecture (especially if students do not feel that the lecture is effective). Instead, tutorials should offer the chance for learning to take a new direction that embraces the teacher-student dynamic.</w:t>
      </w:r>
    </w:p>
    <w:p w:rsidR="007C58D9" w:rsidRPr="00BF60F3" w:rsidRDefault="00E408DB" w:rsidP="006A60ED">
      <w:pPr>
        <w:spacing w:after="240" w:line="240" w:lineRule="auto"/>
        <w:rPr>
          <w:rFonts w:ascii="Times New Roman" w:hAnsi="Times New Roman" w:cs="Times New Roman"/>
          <w:sz w:val="24"/>
        </w:rPr>
      </w:pPr>
      <w:r w:rsidRPr="00BF60F3">
        <w:rPr>
          <w:rFonts w:ascii="Times New Roman" w:hAnsi="Times New Roman" w:cs="Times New Roman"/>
          <w:sz w:val="24"/>
        </w:rPr>
        <w:t xml:space="preserve">In examining the teaching practices that give rise to better academic outcomes, Ling, Ng and Leung (2011) recommend that lecturers focus on helping students achieve higher-order learning outcomes. Such an approach is not the result of the transmission of facts and figures as this will only result in surface learning, instead lecturers should see themselves as facilitators of learning – guiding, probing and supporting student enquiry-based learning. Increasingly we see the place for interactive teaching and learning in the university. Interaction in the university lecture theatre need not involve a wholesale remodelling of the environment so as to allow for dynamic role plays and </w:t>
      </w:r>
      <w:proofErr w:type="spellStart"/>
      <w:r w:rsidRPr="00BF60F3">
        <w:rPr>
          <w:rFonts w:ascii="Times New Roman" w:hAnsi="Times New Roman" w:cs="Times New Roman"/>
          <w:sz w:val="24"/>
        </w:rPr>
        <w:t>groupwork</w:t>
      </w:r>
      <w:proofErr w:type="spellEnd"/>
      <w:r w:rsidRPr="00BF60F3">
        <w:rPr>
          <w:rFonts w:ascii="Times New Roman" w:hAnsi="Times New Roman" w:cs="Times New Roman"/>
          <w:sz w:val="24"/>
        </w:rPr>
        <w:t xml:space="preserve"> involving the use of huge sheets of paper. Interaction can also exist at a cognitive level, where reflective questioning can be introduced during a lecture (</w:t>
      </w:r>
      <w:proofErr w:type="spellStart"/>
      <w:r w:rsidRPr="00BF60F3">
        <w:rPr>
          <w:rFonts w:ascii="Times New Roman" w:hAnsi="Times New Roman" w:cs="Times New Roman"/>
          <w:sz w:val="24"/>
        </w:rPr>
        <w:t>Reneland</w:t>
      </w:r>
      <w:proofErr w:type="spellEnd"/>
      <w:r w:rsidRPr="00BF60F3">
        <w:rPr>
          <w:rFonts w:ascii="Times New Roman" w:hAnsi="Times New Roman" w:cs="Times New Roman"/>
          <w:sz w:val="24"/>
        </w:rPr>
        <w:t xml:space="preserve"> &amp; </w:t>
      </w:r>
      <w:proofErr w:type="spellStart"/>
      <w:r w:rsidRPr="00BF60F3">
        <w:rPr>
          <w:rFonts w:ascii="Times New Roman" w:hAnsi="Times New Roman" w:cs="Times New Roman"/>
          <w:sz w:val="24"/>
        </w:rPr>
        <w:t>Ahlbäck</w:t>
      </w:r>
      <w:proofErr w:type="spellEnd"/>
      <w:r w:rsidRPr="00BF60F3">
        <w:rPr>
          <w:rFonts w:ascii="Times New Roman" w:hAnsi="Times New Roman" w:cs="Times New Roman"/>
          <w:sz w:val="24"/>
        </w:rPr>
        <w:t>, 2003) to allow for intrapersonal reflection and engagement. The lecture hall can also be the catalyst for interaction when topics are introduced that will later be followed up with actual and/or online discussions and tutorials.</w:t>
      </w:r>
      <w:r w:rsidR="00663EF3" w:rsidRPr="00BF60F3">
        <w:rPr>
          <w:rFonts w:ascii="Times New Roman" w:hAnsi="Times New Roman" w:cs="Times New Roman"/>
          <w:sz w:val="24"/>
        </w:rPr>
        <w:t xml:space="preserve"> </w:t>
      </w:r>
    </w:p>
    <w:p w:rsidR="000647A5" w:rsidRPr="00BF60F3" w:rsidRDefault="00E408DB" w:rsidP="006A60ED">
      <w:pPr>
        <w:spacing w:after="240" w:line="240" w:lineRule="auto"/>
        <w:rPr>
          <w:rFonts w:ascii="Times New Roman" w:hAnsi="Times New Roman" w:cs="Times New Roman"/>
          <w:sz w:val="24"/>
        </w:rPr>
      </w:pPr>
      <w:r w:rsidRPr="00BF60F3">
        <w:rPr>
          <w:rFonts w:ascii="Times New Roman" w:hAnsi="Times New Roman" w:cs="Times New Roman"/>
          <w:sz w:val="24"/>
        </w:rPr>
        <w:t>In grounding this pap</w:t>
      </w:r>
      <w:r w:rsidR="00616B81" w:rsidRPr="00BF60F3">
        <w:rPr>
          <w:rFonts w:ascii="Times New Roman" w:hAnsi="Times New Roman" w:cs="Times New Roman"/>
          <w:sz w:val="24"/>
        </w:rPr>
        <w:t>er in a</w:t>
      </w:r>
      <w:r w:rsidR="00BF6F5B" w:rsidRPr="00BF60F3">
        <w:rPr>
          <w:rFonts w:ascii="Times New Roman" w:hAnsi="Times New Roman" w:cs="Times New Roman"/>
          <w:sz w:val="24"/>
        </w:rPr>
        <w:t xml:space="preserve"> perspective</w:t>
      </w:r>
      <w:r w:rsidRPr="00BF60F3">
        <w:rPr>
          <w:rFonts w:ascii="Times New Roman" w:hAnsi="Times New Roman" w:cs="Times New Roman"/>
          <w:sz w:val="24"/>
        </w:rPr>
        <w:t xml:space="preserve"> that holds the university to be a place that aims to teach and </w:t>
      </w:r>
      <w:proofErr w:type="spellStart"/>
      <w:r w:rsidRPr="00BF60F3">
        <w:rPr>
          <w:rFonts w:ascii="Times New Roman" w:hAnsi="Times New Roman" w:cs="Times New Roman"/>
          <w:sz w:val="24"/>
        </w:rPr>
        <w:t>enskill</w:t>
      </w:r>
      <w:proofErr w:type="spellEnd"/>
      <w:r w:rsidRPr="00BF60F3">
        <w:rPr>
          <w:rFonts w:ascii="Times New Roman" w:hAnsi="Times New Roman" w:cs="Times New Roman"/>
          <w:sz w:val="24"/>
        </w:rPr>
        <w:t xml:space="preserve"> the next generation, the ‘problem’ of failure needs to be addressed in relation to academic staff rather than students – if students have achieved the entry grades </w:t>
      </w:r>
      <w:r w:rsidR="00616B81" w:rsidRPr="00BF60F3">
        <w:rPr>
          <w:rFonts w:ascii="Times New Roman" w:hAnsi="Times New Roman" w:cs="Times New Roman"/>
          <w:sz w:val="24"/>
        </w:rPr>
        <w:t>then they have shown evidence of ability; therefore, if they</w:t>
      </w:r>
      <w:r w:rsidRPr="00BF60F3">
        <w:rPr>
          <w:rFonts w:ascii="Times New Roman" w:hAnsi="Times New Roman" w:cs="Times New Roman"/>
          <w:sz w:val="24"/>
        </w:rPr>
        <w:t xml:space="preserve"> are then taught in an appropriate fashion </w:t>
      </w:r>
      <w:r w:rsidR="007A4A06" w:rsidRPr="00BF60F3">
        <w:rPr>
          <w:rFonts w:ascii="Times New Roman" w:hAnsi="Times New Roman" w:cs="Times New Roman"/>
          <w:sz w:val="24"/>
        </w:rPr>
        <w:t>we must question what it is that might cause them to fail a course.</w:t>
      </w:r>
      <w:r w:rsidRPr="00BF60F3">
        <w:rPr>
          <w:rFonts w:ascii="Times New Roman" w:hAnsi="Times New Roman" w:cs="Times New Roman"/>
          <w:sz w:val="24"/>
        </w:rPr>
        <w:t xml:space="preserve"> In this instance </w:t>
      </w:r>
      <w:r w:rsidR="00B218B6" w:rsidRPr="00BF60F3">
        <w:rPr>
          <w:rFonts w:ascii="Times New Roman" w:hAnsi="Times New Roman" w:cs="Times New Roman"/>
          <w:sz w:val="24"/>
        </w:rPr>
        <w:t>one could</w:t>
      </w:r>
      <w:r w:rsidRPr="00BF60F3">
        <w:rPr>
          <w:rFonts w:ascii="Times New Roman" w:hAnsi="Times New Roman" w:cs="Times New Roman"/>
          <w:sz w:val="24"/>
        </w:rPr>
        <w:t xml:space="preserve"> propose that the failure of the student is symptomatic of the failure of the</w:t>
      </w:r>
      <w:r w:rsidR="00BF6F5B" w:rsidRPr="00BF60F3">
        <w:rPr>
          <w:rFonts w:ascii="Times New Roman" w:hAnsi="Times New Roman" w:cs="Times New Roman"/>
          <w:sz w:val="24"/>
        </w:rPr>
        <w:t>ir</w:t>
      </w:r>
      <w:r w:rsidRPr="00BF60F3">
        <w:rPr>
          <w:rFonts w:ascii="Times New Roman" w:hAnsi="Times New Roman" w:cs="Times New Roman"/>
          <w:sz w:val="24"/>
        </w:rPr>
        <w:t xml:space="preserve"> education rather than an outcome of their academic weakness.</w:t>
      </w:r>
    </w:p>
    <w:p w:rsidR="00E408DB" w:rsidRPr="00BF60F3" w:rsidRDefault="00E408DB" w:rsidP="006A60ED">
      <w:pPr>
        <w:spacing w:after="240" w:line="240" w:lineRule="auto"/>
        <w:rPr>
          <w:rFonts w:ascii="Times New Roman" w:hAnsi="Times New Roman" w:cs="Times New Roman"/>
          <w:sz w:val="24"/>
        </w:rPr>
      </w:pPr>
      <w:r w:rsidRPr="00BF60F3">
        <w:rPr>
          <w:rFonts w:ascii="Times New Roman" w:hAnsi="Times New Roman" w:cs="Times New Roman"/>
          <w:sz w:val="24"/>
        </w:rPr>
        <w:t>This analysis accepts three factors in relation to courses with high failure rates:</w:t>
      </w:r>
    </w:p>
    <w:p w:rsidR="00E408DB" w:rsidRPr="00BF60F3" w:rsidRDefault="00E408DB" w:rsidP="00E36EE2">
      <w:pPr>
        <w:pStyle w:val="ListParagraph"/>
        <w:numPr>
          <w:ilvl w:val="0"/>
          <w:numId w:val="4"/>
        </w:numPr>
        <w:spacing w:line="240" w:lineRule="auto"/>
        <w:rPr>
          <w:rFonts w:ascii="Times New Roman" w:hAnsi="Times New Roman" w:cs="Times New Roman"/>
          <w:sz w:val="24"/>
        </w:rPr>
      </w:pPr>
      <w:r w:rsidRPr="00BF60F3">
        <w:rPr>
          <w:rFonts w:ascii="Times New Roman" w:hAnsi="Times New Roman" w:cs="Times New Roman"/>
          <w:sz w:val="24"/>
        </w:rPr>
        <w:t>Whilst it not appropriate for a university to have an ‘acceptable’ failure rate it is likely in any examination system that some students will experience failure at some level</w:t>
      </w:r>
    </w:p>
    <w:p w:rsidR="00E408DB" w:rsidRPr="00BF60F3" w:rsidRDefault="00E408DB" w:rsidP="00E36EE2">
      <w:pPr>
        <w:pStyle w:val="ListParagraph"/>
        <w:numPr>
          <w:ilvl w:val="0"/>
          <w:numId w:val="4"/>
        </w:numPr>
        <w:spacing w:line="240" w:lineRule="auto"/>
        <w:rPr>
          <w:rFonts w:ascii="Times New Roman" w:hAnsi="Times New Roman" w:cs="Times New Roman"/>
          <w:sz w:val="24"/>
        </w:rPr>
      </w:pPr>
      <w:r w:rsidRPr="00BF60F3">
        <w:rPr>
          <w:rFonts w:ascii="Times New Roman" w:hAnsi="Times New Roman" w:cs="Times New Roman"/>
          <w:sz w:val="24"/>
        </w:rPr>
        <w:t>Failure may be a result of factors beyond intelligence such as maturity and life events</w:t>
      </w:r>
    </w:p>
    <w:p w:rsidR="00E408DB" w:rsidRPr="00BF60F3" w:rsidRDefault="00E408DB" w:rsidP="00E36EE2">
      <w:pPr>
        <w:pStyle w:val="ListParagraph"/>
        <w:numPr>
          <w:ilvl w:val="0"/>
          <w:numId w:val="4"/>
        </w:numPr>
        <w:spacing w:line="240" w:lineRule="auto"/>
        <w:rPr>
          <w:rFonts w:ascii="Times New Roman" w:hAnsi="Times New Roman" w:cs="Times New Roman"/>
          <w:sz w:val="24"/>
        </w:rPr>
      </w:pPr>
      <w:r w:rsidRPr="00BF60F3">
        <w:rPr>
          <w:rFonts w:ascii="Times New Roman" w:hAnsi="Times New Roman" w:cs="Times New Roman"/>
          <w:sz w:val="24"/>
        </w:rPr>
        <w:t>The university is a place of learning and therefore has a duty to help all students overcome challenges that limit their success</w:t>
      </w:r>
    </w:p>
    <w:p w:rsidR="00E408DB" w:rsidRPr="00BF60F3" w:rsidRDefault="00E408DB" w:rsidP="006A60ED">
      <w:pPr>
        <w:spacing w:after="240" w:line="240" w:lineRule="auto"/>
        <w:rPr>
          <w:rFonts w:ascii="Times New Roman" w:hAnsi="Times New Roman" w:cs="Times New Roman"/>
          <w:sz w:val="24"/>
        </w:rPr>
      </w:pPr>
      <w:r w:rsidRPr="00BF60F3">
        <w:rPr>
          <w:rFonts w:ascii="Times New Roman" w:hAnsi="Times New Roman" w:cs="Times New Roman"/>
          <w:sz w:val="24"/>
        </w:rPr>
        <w:t xml:space="preserve">Concurrent with these three factors this analysis sees teaching and learning as the solution to academic failure. Students are </w:t>
      </w:r>
      <w:r w:rsidR="007A4A06" w:rsidRPr="00BF60F3">
        <w:rPr>
          <w:rFonts w:ascii="Times New Roman" w:hAnsi="Times New Roman" w:cs="Times New Roman"/>
          <w:sz w:val="24"/>
        </w:rPr>
        <w:t>‘</w:t>
      </w:r>
      <w:r w:rsidRPr="00BF60F3">
        <w:rPr>
          <w:rFonts w:ascii="Times New Roman" w:hAnsi="Times New Roman" w:cs="Times New Roman"/>
          <w:sz w:val="24"/>
        </w:rPr>
        <w:t>switched on</w:t>
      </w:r>
      <w:r w:rsidR="007A4A06" w:rsidRPr="00BF60F3">
        <w:rPr>
          <w:rFonts w:ascii="Times New Roman" w:hAnsi="Times New Roman" w:cs="Times New Roman"/>
          <w:sz w:val="24"/>
        </w:rPr>
        <w:t>’</w:t>
      </w:r>
      <w:r w:rsidRPr="00BF60F3">
        <w:rPr>
          <w:rFonts w:ascii="Times New Roman" w:hAnsi="Times New Roman" w:cs="Times New Roman"/>
          <w:sz w:val="24"/>
        </w:rPr>
        <w:t xml:space="preserve"> by learning and there is clear evidence that good </w:t>
      </w:r>
      <w:r w:rsidRPr="00BF60F3">
        <w:rPr>
          <w:rFonts w:ascii="Times New Roman" w:hAnsi="Times New Roman" w:cs="Times New Roman"/>
          <w:sz w:val="24"/>
        </w:rPr>
        <w:lastRenderedPageBreak/>
        <w:t>university teaching can make a difference to student learning. The way that information is presented; the attention that staff offer their students; the level and type of questioning, and the inter- and intra-personal interaction that takes place in the learning environment are all seen as key ingredients in successful university education (</w:t>
      </w:r>
      <w:proofErr w:type="spellStart"/>
      <w:r w:rsidRPr="00BF60F3">
        <w:rPr>
          <w:rFonts w:ascii="Times New Roman" w:hAnsi="Times New Roman" w:cs="Times New Roman"/>
          <w:sz w:val="24"/>
        </w:rPr>
        <w:t>Chanock</w:t>
      </w:r>
      <w:proofErr w:type="spellEnd"/>
      <w:r w:rsidRPr="00BF60F3">
        <w:rPr>
          <w:rFonts w:ascii="Times New Roman" w:hAnsi="Times New Roman" w:cs="Times New Roman"/>
          <w:sz w:val="24"/>
        </w:rPr>
        <w:t xml:space="preserve">, 2007; Margaret &amp; Guest, 2007; </w:t>
      </w:r>
      <w:proofErr w:type="spellStart"/>
      <w:r w:rsidRPr="00BF60F3">
        <w:rPr>
          <w:rFonts w:ascii="Times New Roman" w:hAnsi="Times New Roman" w:cs="Times New Roman"/>
          <w:sz w:val="24"/>
        </w:rPr>
        <w:t>Lizzio</w:t>
      </w:r>
      <w:proofErr w:type="spellEnd"/>
      <w:r w:rsidRPr="00BF60F3">
        <w:rPr>
          <w:rFonts w:ascii="Times New Roman" w:hAnsi="Times New Roman" w:cs="Times New Roman"/>
          <w:sz w:val="24"/>
        </w:rPr>
        <w:t>, Wilson &amp; Simons, 2002). The quality of teaching is not just a driver of educational attainment but Foster (2010) suggests that it is also a driver of educational parity.</w:t>
      </w:r>
    </w:p>
    <w:p w:rsidR="00E408DB" w:rsidRPr="00BF60F3" w:rsidRDefault="00E408DB" w:rsidP="006A60ED">
      <w:pPr>
        <w:spacing w:after="160" w:line="240" w:lineRule="auto"/>
        <w:rPr>
          <w:rFonts w:ascii="Arial" w:hAnsi="Arial" w:cs="Arial"/>
          <w:b/>
        </w:rPr>
      </w:pPr>
      <w:r w:rsidRPr="00BF60F3">
        <w:rPr>
          <w:rFonts w:ascii="Arial" w:hAnsi="Arial" w:cs="Arial"/>
          <w:b/>
        </w:rPr>
        <w:t>Methodology</w:t>
      </w:r>
    </w:p>
    <w:p w:rsidR="000647A5" w:rsidRPr="00BF60F3" w:rsidRDefault="00562D63" w:rsidP="00562D63">
      <w:pPr>
        <w:spacing w:line="240" w:lineRule="auto"/>
        <w:rPr>
          <w:rFonts w:ascii="Times New Roman" w:hAnsi="Times New Roman" w:cs="Times New Roman"/>
          <w:sz w:val="24"/>
        </w:rPr>
      </w:pPr>
      <w:r w:rsidRPr="00BF60F3">
        <w:rPr>
          <w:rFonts w:ascii="Times New Roman" w:hAnsi="Times New Roman" w:cs="Times New Roman"/>
          <w:sz w:val="24"/>
        </w:rPr>
        <w:t>This research gives credence to the student voice by</w:t>
      </w:r>
      <w:r w:rsidR="00616B81" w:rsidRPr="00BF60F3">
        <w:rPr>
          <w:rFonts w:ascii="Times New Roman" w:hAnsi="Times New Roman" w:cs="Times New Roman"/>
          <w:sz w:val="24"/>
        </w:rPr>
        <w:t xml:space="preserve"> examining undergraduate student perspectives on courses with high failure rates</w:t>
      </w:r>
      <w:r w:rsidRPr="00BF60F3">
        <w:rPr>
          <w:rFonts w:ascii="Times New Roman" w:hAnsi="Times New Roman" w:cs="Times New Roman"/>
          <w:sz w:val="24"/>
        </w:rPr>
        <w:t xml:space="preserve"> through</w:t>
      </w:r>
      <w:r w:rsidR="00616B81" w:rsidRPr="00BF60F3">
        <w:rPr>
          <w:rFonts w:ascii="Times New Roman" w:hAnsi="Times New Roman" w:cs="Times New Roman"/>
          <w:sz w:val="24"/>
        </w:rPr>
        <w:t xml:space="preserve"> </w:t>
      </w:r>
      <w:r w:rsidR="00BF6F5B" w:rsidRPr="00BF60F3">
        <w:rPr>
          <w:rFonts w:ascii="Times New Roman" w:hAnsi="Times New Roman" w:cs="Times New Roman"/>
          <w:sz w:val="24"/>
        </w:rPr>
        <w:t>analysing</w:t>
      </w:r>
      <w:r w:rsidR="00616B81" w:rsidRPr="00BF60F3">
        <w:rPr>
          <w:rFonts w:ascii="Times New Roman" w:hAnsi="Times New Roman" w:cs="Times New Roman"/>
          <w:sz w:val="24"/>
        </w:rPr>
        <w:t xml:space="preserve"> 19 courses that were taught in a Caribbean university during semester 1 of the academic year 2011/12 </w:t>
      </w:r>
      <w:r w:rsidR="00BF6F5B" w:rsidRPr="00BF60F3">
        <w:rPr>
          <w:rFonts w:ascii="Times New Roman" w:hAnsi="Times New Roman" w:cs="Times New Roman"/>
          <w:sz w:val="24"/>
        </w:rPr>
        <w:t>through</w:t>
      </w:r>
      <w:r w:rsidR="00616B81" w:rsidRPr="00BF60F3">
        <w:rPr>
          <w:rFonts w:ascii="Times New Roman" w:hAnsi="Times New Roman" w:cs="Times New Roman"/>
          <w:sz w:val="24"/>
        </w:rPr>
        <w:t xml:space="preserve"> student evaluations of them. </w:t>
      </w:r>
      <w:r w:rsidRPr="00BF60F3">
        <w:rPr>
          <w:rFonts w:ascii="Times New Roman" w:hAnsi="Times New Roman" w:cs="Times New Roman"/>
          <w:sz w:val="24"/>
        </w:rPr>
        <w:t xml:space="preserve"> Undergraduate </w:t>
      </w:r>
      <w:r w:rsidR="0088143E" w:rsidRPr="00BF60F3">
        <w:rPr>
          <w:rFonts w:ascii="Times New Roman" w:hAnsi="Times New Roman" w:cs="Times New Roman"/>
          <w:sz w:val="24"/>
        </w:rPr>
        <w:t>degree programmes</w:t>
      </w:r>
      <w:r w:rsidRPr="00BF60F3">
        <w:rPr>
          <w:rFonts w:ascii="Times New Roman" w:hAnsi="Times New Roman" w:cs="Times New Roman"/>
          <w:sz w:val="24"/>
        </w:rPr>
        <w:t xml:space="preserve"> at this university last for three years (six semesters) and typically student</w:t>
      </w:r>
      <w:r w:rsidR="008930C8" w:rsidRPr="00BF60F3">
        <w:rPr>
          <w:rFonts w:ascii="Times New Roman" w:hAnsi="Times New Roman" w:cs="Times New Roman"/>
          <w:sz w:val="24"/>
        </w:rPr>
        <w:t>s</w:t>
      </w:r>
      <w:r w:rsidRPr="00BF60F3">
        <w:rPr>
          <w:rFonts w:ascii="Times New Roman" w:hAnsi="Times New Roman" w:cs="Times New Roman"/>
          <w:sz w:val="24"/>
        </w:rPr>
        <w:t xml:space="preserve"> study five courses each semester. </w:t>
      </w:r>
      <w:r w:rsidR="000647A5" w:rsidRPr="00BF60F3">
        <w:rPr>
          <w:rFonts w:ascii="Times New Roman" w:hAnsi="Times New Roman" w:cs="Times New Roman"/>
          <w:sz w:val="24"/>
        </w:rPr>
        <w:t>Du</w:t>
      </w:r>
      <w:r w:rsidR="007A4A06" w:rsidRPr="00BF60F3">
        <w:rPr>
          <w:rFonts w:ascii="Times New Roman" w:hAnsi="Times New Roman" w:cs="Times New Roman"/>
          <w:sz w:val="24"/>
        </w:rPr>
        <w:t>ring s</w:t>
      </w:r>
      <w:r w:rsidR="000647A5" w:rsidRPr="00BF60F3">
        <w:rPr>
          <w:rFonts w:ascii="Times New Roman" w:hAnsi="Times New Roman" w:cs="Times New Roman"/>
          <w:sz w:val="24"/>
        </w:rPr>
        <w:t>eme</w:t>
      </w:r>
      <w:r w:rsidR="00B23DCC" w:rsidRPr="00BF60F3">
        <w:rPr>
          <w:rFonts w:ascii="Times New Roman" w:hAnsi="Times New Roman" w:cs="Times New Roman"/>
          <w:sz w:val="24"/>
        </w:rPr>
        <w:t>ster 1 of the academic y</w:t>
      </w:r>
      <w:r w:rsidR="000647A5" w:rsidRPr="00BF60F3">
        <w:rPr>
          <w:rFonts w:ascii="Times New Roman" w:hAnsi="Times New Roman" w:cs="Times New Roman"/>
          <w:sz w:val="24"/>
        </w:rPr>
        <w:t xml:space="preserve">ear 2011/12 </w:t>
      </w:r>
      <w:r w:rsidR="008571E2" w:rsidRPr="00BF60F3">
        <w:rPr>
          <w:rFonts w:ascii="Times New Roman" w:hAnsi="Times New Roman" w:cs="Times New Roman"/>
          <w:sz w:val="24"/>
        </w:rPr>
        <w:t xml:space="preserve">there </w:t>
      </w:r>
      <w:proofErr w:type="gramStart"/>
      <w:r w:rsidR="008571E2" w:rsidRPr="00BF60F3">
        <w:rPr>
          <w:rFonts w:ascii="Times New Roman" w:hAnsi="Times New Roman" w:cs="Times New Roman"/>
          <w:sz w:val="24"/>
        </w:rPr>
        <w:t>were</w:t>
      </w:r>
      <w:proofErr w:type="gramEnd"/>
      <w:r w:rsidR="008571E2" w:rsidRPr="00BF60F3">
        <w:rPr>
          <w:rFonts w:ascii="Times New Roman" w:hAnsi="Times New Roman" w:cs="Times New Roman"/>
          <w:sz w:val="24"/>
        </w:rPr>
        <w:t xml:space="preserve"> </w:t>
      </w:r>
      <w:r w:rsidR="000647A5" w:rsidRPr="00BF60F3">
        <w:rPr>
          <w:rFonts w:ascii="Times New Roman" w:hAnsi="Times New Roman" w:cs="Times New Roman"/>
          <w:sz w:val="24"/>
        </w:rPr>
        <w:t xml:space="preserve">662 </w:t>
      </w:r>
      <w:r w:rsidR="008571E2" w:rsidRPr="00BF60F3">
        <w:rPr>
          <w:rFonts w:ascii="Times New Roman" w:hAnsi="Times New Roman" w:cs="Times New Roman"/>
          <w:sz w:val="24"/>
        </w:rPr>
        <w:t xml:space="preserve">undergraduate </w:t>
      </w:r>
      <w:r w:rsidR="000647A5" w:rsidRPr="00BF60F3">
        <w:rPr>
          <w:rFonts w:ascii="Times New Roman" w:hAnsi="Times New Roman" w:cs="Times New Roman"/>
          <w:sz w:val="24"/>
        </w:rPr>
        <w:t xml:space="preserve">courses taught at </w:t>
      </w:r>
      <w:r w:rsidR="00B23DCC" w:rsidRPr="00BF60F3">
        <w:rPr>
          <w:rFonts w:ascii="Times New Roman" w:hAnsi="Times New Roman" w:cs="Times New Roman"/>
          <w:sz w:val="24"/>
        </w:rPr>
        <w:t>the university under study</w:t>
      </w:r>
      <w:r w:rsidR="000647A5" w:rsidRPr="00BF60F3">
        <w:rPr>
          <w:rFonts w:ascii="Times New Roman" w:hAnsi="Times New Roman" w:cs="Times New Roman"/>
          <w:sz w:val="24"/>
        </w:rPr>
        <w:t>. Of these:</w:t>
      </w:r>
    </w:p>
    <w:p w:rsidR="000647A5" w:rsidRPr="00BF60F3" w:rsidRDefault="000647A5" w:rsidP="00E36EE2">
      <w:pPr>
        <w:pStyle w:val="ListParagraph"/>
        <w:numPr>
          <w:ilvl w:val="0"/>
          <w:numId w:val="2"/>
        </w:numPr>
        <w:spacing w:line="240" w:lineRule="auto"/>
        <w:rPr>
          <w:rFonts w:ascii="Times New Roman" w:hAnsi="Times New Roman" w:cs="Times New Roman"/>
          <w:sz w:val="24"/>
        </w:rPr>
      </w:pPr>
      <w:r w:rsidRPr="00BF60F3">
        <w:rPr>
          <w:rFonts w:ascii="Times New Roman" w:hAnsi="Times New Roman" w:cs="Times New Roman"/>
          <w:sz w:val="24"/>
        </w:rPr>
        <w:t xml:space="preserve">525 (79.3%) had a failure rate ≤25% </w:t>
      </w:r>
    </w:p>
    <w:p w:rsidR="000647A5" w:rsidRPr="00BF60F3" w:rsidRDefault="000647A5" w:rsidP="00E36EE2">
      <w:pPr>
        <w:pStyle w:val="ListParagraph"/>
        <w:numPr>
          <w:ilvl w:val="0"/>
          <w:numId w:val="2"/>
        </w:numPr>
        <w:spacing w:line="240" w:lineRule="auto"/>
        <w:rPr>
          <w:rFonts w:ascii="Times New Roman" w:hAnsi="Times New Roman" w:cs="Times New Roman"/>
          <w:sz w:val="24"/>
        </w:rPr>
      </w:pPr>
      <w:r w:rsidRPr="00BF60F3">
        <w:rPr>
          <w:rFonts w:ascii="Times New Roman" w:hAnsi="Times New Roman" w:cs="Times New Roman"/>
          <w:sz w:val="24"/>
        </w:rPr>
        <w:t xml:space="preserve">115 (17.4%) had a failure rate between 25-50% </w:t>
      </w:r>
    </w:p>
    <w:p w:rsidR="000647A5" w:rsidRPr="00BF60F3" w:rsidRDefault="000647A5" w:rsidP="006A60ED">
      <w:pPr>
        <w:pStyle w:val="ListParagraph"/>
        <w:numPr>
          <w:ilvl w:val="0"/>
          <w:numId w:val="2"/>
        </w:numPr>
        <w:spacing w:after="240" w:line="240" w:lineRule="auto"/>
        <w:rPr>
          <w:rFonts w:ascii="Times New Roman" w:hAnsi="Times New Roman" w:cs="Times New Roman"/>
          <w:sz w:val="24"/>
        </w:rPr>
      </w:pPr>
      <w:r w:rsidRPr="00BF60F3">
        <w:rPr>
          <w:rFonts w:ascii="Times New Roman" w:hAnsi="Times New Roman" w:cs="Times New Roman"/>
          <w:sz w:val="24"/>
        </w:rPr>
        <w:t xml:space="preserve">22 (3.3%) had a failure rate ≥50% </w:t>
      </w:r>
    </w:p>
    <w:p w:rsidR="000647A5" w:rsidRPr="00BF60F3" w:rsidRDefault="0088143E" w:rsidP="006A60ED">
      <w:pPr>
        <w:spacing w:after="240" w:line="240" w:lineRule="auto"/>
        <w:rPr>
          <w:rFonts w:ascii="Times New Roman" w:hAnsi="Times New Roman" w:cs="Times New Roman"/>
          <w:sz w:val="24"/>
        </w:rPr>
      </w:pPr>
      <w:r w:rsidRPr="00BF60F3">
        <w:rPr>
          <w:rFonts w:ascii="Times New Roman" w:hAnsi="Times New Roman" w:cs="Times New Roman"/>
          <w:sz w:val="24"/>
        </w:rPr>
        <w:t>Standard deviation would suggest that there will always be a spread of results when course failure is analysed at the institutional level; however, a</w:t>
      </w:r>
      <w:r w:rsidR="00B23DCC" w:rsidRPr="00BF60F3">
        <w:rPr>
          <w:rFonts w:ascii="Times New Roman" w:hAnsi="Times New Roman" w:cs="Times New Roman"/>
          <w:sz w:val="24"/>
        </w:rPr>
        <w:t>cademic failure is not something that can be easily ‘accepted’</w:t>
      </w:r>
      <w:r w:rsidRPr="00BF60F3">
        <w:rPr>
          <w:rFonts w:ascii="Times New Roman" w:hAnsi="Times New Roman" w:cs="Times New Roman"/>
          <w:sz w:val="24"/>
        </w:rPr>
        <w:t xml:space="preserve"> and it does</w:t>
      </w:r>
      <w:r w:rsidR="00BF6F5B" w:rsidRPr="00BF60F3">
        <w:rPr>
          <w:rFonts w:ascii="Times New Roman" w:hAnsi="Times New Roman" w:cs="Times New Roman"/>
          <w:sz w:val="24"/>
        </w:rPr>
        <w:t xml:space="preserve"> not seem fitting just to ignore</w:t>
      </w:r>
      <w:r w:rsidRPr="00BF60F3">
        <w:rPr>
          <w:rFonts w:ascii="Times New Roman" w:hAnsi="Times New Roman" w:cs="Times New Roman"/>
          <w:sz w:val="24"/>
        </w:rPr>
        <w:t xml:space="preserve"> the fate of those are the </w:t>
      </w:r>
      <w:r w:rsidR="008930C8" w:rsidRPr="00BF60F3">
        <w:rPr>
          <w:rFonts w:ascii="Times New Roman" w:hAnsi="Times New Roman" w:cs="Times New Roman"/>
          <w:sz w:val="24"/>
        </w:rPr>
        <w:t>miserable</w:t>
      </w:r>
      <w:r w:rsidRPr="00BF60F3">
        <w:rPr>
          <w:rFonts w:ascii="Times New Roman" w:hAnsi="Times New Roman" w:cs="Times New Roman"/>
          <w:sz w:val="24"/>
        </w:rPr>
        <w:t xml:space="preserve"> end of the bell curve.</w:t>
      </w:r>
      <w:r w:rsidR="008571E2" w:rsidRPr="00BF60F3">
        <w:rPr>
          <w:rFonts w:ascii="Times New Roman" w:hAnsi="Times New Roman" w:cs="Times New Roman"/>
          <w:sz w:val="24"/>
        </w:rPr>
        <w:t xml:space="preserve"> It was for this reason that t</w:t>
      </w:r>
      <w:r w:rsidR="00B23DCC" w:rsidRPr="00BF60F3">
        <w:rPr>
          <w:rFonts w:ascii="Times New Roman" w:hAnsi="Times New Roman" w:cs="Times New Roman"/>
          <w:sz w:val="24"/>
        </w:rPr>
        <w:t xml:space="preserve">his paper </w:t>
      </w:r>
      <w:r w:rsidR="000647A5" w:rsidRPr="00BF60F3">
        <w:rPr>
          <w:rFonts w:ascii="Times New Roman" w:hAnsi="Times New Roman" w:cs="Times New Roman"/>
          <w:sz w:val="24"/>
        </w:rPr>
        <w:t xml:space="preserve">focuses on the </w:t>
      </w:r>
      <w:r w:rsidR="001675B8" w:rsidRPr="00BF60F3">
        <w:rPr>
          <w:rFonts w:ascii="Times New Roman" w:hAnsi="Times New Roman" w:cs="Times New Roman"/>
          <w:sz w:val="24"/>
        </w:rPr>
        <w:t xml:space="preserve">group of </w:t>
      </w:r>
      <w:r w:rsidR="000647A5" w:rsidRPr="00BF60F3">
        <w:rPr>
          <w:rFonts w:ascii="Times New Roman" w:hAnsi="Times New Roman" w:cs="Times New Roman"/>
          <w:sz w:val="24"/>
        </w:rPr>
        <w:t xml:space="preserve">courses with failure rates ≥50% </w:t>
      </w:r>
      <w:r w:rsidR="00B23DCC" w:rsidRPr="00BF60F3">
        <w:rPr>
          <w:rFonts w:ascii="Times New Roman" w:hAnsi="Times New Roman" w:cs="Times New Roman"/>
          <w:sz w:val="24"/>
        </w:rPr>
        <w:t>as a prototypical extreme</w:t>
      </w:r>
      <w:r w:rsidR="001675B8" w:rsidRPr="00BF60F3">
        <w:rPr>
          <w:rFonts w:ascii="Times New Roman" w:hAnsi="Times New Roman" w:cs="Times New Roman"/>
          <w:sz w:val="24"/>
        </w:rPr>
        <w:t>:</w:t>
      </w:r>
      <w:r w:rsidR="00B23DCC" w:rsidRPr="00BF60F3">
        <w:rPr>
          <w:rFonts w:ascii="Times New Roman" w:hAnsi="Times New Roman" w:cs="Times New Roman"/>
          <w:sz w:val="24"/>
        </w:rPr>
        <w:t xml:space="preserve"> </w:t>
      </w:r>
      <w:r w:rsidR="000647A5" w:rsidRPr="00BF60F3">
        <w:rPr>
          <w:rFonts w:ascii="Times New Roman" w:hAnsi="Times New Roman" w:cs="Times New Roman"/>
          <w:sz w:val="24"/>
        </w:rPr>
        <w:t>in an effort to establish if there are underpinnin</w:t>
      </w:r>
      <w:r w:rsidR="00B23DCC" w:rsidRPr="00BF60F3">
        <w:rPr>
          <w:rFonts w:ascii="Times New Roman" w:hAnsi="Times New Roman" w:cs="Times New Roman"/>
          <w:sz w:val="24"/>
        </w:rPr>
        <w:t xml:space="preserve">g reasons for these high rates and what students </w:t>
      </w:r>
      <w:r w:rsidR="001675B8" w:rsidRPr="00BF60F3">
        <w:rPr>
          <w:rFonts w:ascii="Times New Roman" w:hAnsi="Times New Roman" w:cs="Times New Roman"/>
          <w:sz w:val="24"/>
        </w:rPr>
        <w:t>say can be done to address them</w:t>
      </w:r>
      <w:r w:rsidR="00B23DCC" w:rsidRPr="00BF60F3">
        <w:rPr>
          <w:rFonts w:ascii="Times New Roman" w:hAnsi="Times New Roman" w:cs="Times New Roman"/>
          <w:sz w:val="24"/>
        </w:rPr>
        <w:t>.</w:t>
      </w:r>
    </w:p>
    <w:p w:rsidR="009063AA" w:rsidRPr="00BF60F3" w:rsidRDefault="00B01162" w:rsidP="006A60ED">
      <w:pPr>
        <w:spacing w:after="240" w:line="240" w:lineRule="auto"/>
        <w:rPr>
          <w:rFonts w:ascii="Times New Roman" w:hAnsi="Times New Roman" w:cs="Times New Roman"/>
          <w:sz w:val="24"/>
        </w:rPr>
      </w:pPr>
      <w:r w:rsidRPr="00BF60F3">
        <w:rPr>
          <w:rFonts w:ascii="Times New Roman" w:hAnsi="Times New Roman" w:cs="Times New Roman"/>
          <w:sz w:val="24"/>
        </w:rPr>
        <w:t>Of the</w:t>
      </w:r>
      <w:r w:rsidR="008571E2" w:rsidRPr="00BF60F3">
        <w:rPr>
          <w:rFonts w:ascii="Times New Roman" w:hAnsi="Times New Roman" w:cs="Times New Roman"/>
          <w:sz w:val="24"/>
        </w:rPr>
        <w:t xml:space="preserve"> </w:t>
      </w:r>
      <w:r w:rsidR="000647A5" w:rsidRPr="00BF60F3">
        <w:rPr>
          <w:rFonts w:ascii="Times New Roman" w:hAnsi="Times New Roman" w:cs="Times New Roman"/>
          <w:sz w:val="24"/>
        </w:rPr>
        <w:t>22 undergraduate courses with failure rates</w:t>
      </w:r>
      <w:r w:rsidR="008571E2" w:rsidRPr="00BF60F3">
        <w:rPr>
          <w:rFonts w:ascii="Times New Roman" w:hAnsi="Times New Roman" w:cs="Times New Roman"/>
          <w:sz w:val="24"/>
        </w:rPr>
        <w:t xml:space="preserve"> in excess of 50% only</w:t>
      </w:r>
      <w:r w:rsidR="000647A5" w:rsidRPr="00BF60F3">
        <w:rPr>
          <w:rFonts w:ascii="Times New Roman" w:hAnsi="Times New Roman" w:cs="Times New Roman"/>
          <w:sz w:val="24"/>
        </w:rPr>
        <w:t xml:space="preserve"> 19 </w:t>
      </w:r>
      <w:r w:rsidR="008571E2" w:rsidRPr="00BF60F3">
        <w:rPr>
          <w:rFonts w:ascii="Times New Roman" w:hAnsi="Times New Roman" w:cs="Times New Roman"/>
          <w:sz w:val="24"/>
        </w:rPr>
        <w:t>submitted student e</w:t>
      </w:r>
      <w:r w:rsidR="000647A5" w:rsidRPr="00BF60F3">
        <w:rPr>
          <w:rFonts w:ascii="Times New Roman" w:hAnsi="Times New Roman" w:cs="Times New Roman"/>
          <w:sz w:val="24"/>
        </w:rPr>
        <w:t>valuation</w:t>
      </w:r>
      <w:r w:rsidR="008571E2" w:rsidRPr="00BF60F3">
        <w:rPr>
          <w:rFonts w:ascii="Times New Roman" w:hAnsi="Times New Roman" w:cs="Times New Roman"/>
          <w:sz w:val="24"/>
        </w:rPr>
        <w:t>s</w:t>
      </w:r>
      <w:r w:rsidR="000647A5" w:rsidRPr="00BF60F3">
        <w:rPr>
          <w:rFonts w:ascii="Times New Roman" w:hAnsi="Times New Roman" w:cs="Times New Roman"/>
          <w:sz w:val="24"/>
        </w:rPr>
        <w:t xml:space="preserve"> </w:t>
      </w:r>
      <w:r w:rsidR="008571E2" w:rsidRPr="00BF60F3">
        <w:rPr>
          <w:rFonts w:ascii="Times New Roman" w:hAnsi="Times New Roman" w:cs="Times New Roman"/>
          <w:sz w:val="24"/>
        </w:rPr>
        <w:t xml:space="preserve">to the university. The university expects that all courses ask students to complete SEQs and the fact that these were not produced for three courses may indicate some </w:t>
      </w:r>
      <w:r w:rsidRPr="00BF60F3">
        <w:rPr>
          <w:rFonts w:ascii="Times New Roman" w:hAnsi="Times New Roman" w:cs="Times New Roman"/>
          <w:sz w:val="24"/>
        </w:rPr>
        <w:t>wider issues. This research sought to analyse the student evaluations of courses with high failure rates</w:t>
      </w:r>
      <w:r w:rsidR="007A4A06" w:rsidRPr="00BF60F3">
        <w:rPr>
          <w:rFonts w:ascii="Times New Roman" w:hAnsi="Times New Roman" w:cs="Times New Roman"/>
          <w:sz w:val="24"/>
        </w:rPr>
        <w:t xml:space="preserve"> in relation to student evaluation data</w:t>
      </w:r>
      <w:r w:rsidRPr="00BF60F3">
        <w:rPr>
          <w:rFonts w:ascii="Times New Roman" w:hAnsi="Times New Roman" w:cs="Times New Roman"/>
          <w:sz w:val="24"/>
        </w:rPr>
        <w:t xml:space="preserve"> and the missing SEQs meant that these three courses had to be excluded from this analysis. For the 19 courses where students had completed SEQs it was then </w:t>
      </w:r>
      <w:r w:rsidR="000647A5" w:rsidRPr="00BF60F3">
        <w:rPr>
          <w:rFonts w:ascii="Times New Roman" w:hAnsi="Times New Roman" w:cs="Times New Roman"/>
          <w:sz w:val="24"/>
        </w:rPr>
        <w:t>possible to examine where students felt these cou</w:t>
      </w:r>
      <w:r w:rsidRPr="00BF60F3">
        <w:rPr>
          <w:rFonts w:ascii="Times New Roman" w:hAnsi="Times New Roman" w:cs="Times New Roman"/>
          <w:sz w:val="24"/>
        </w:rPr>
        <w:t xml:space="preserve">rses could be improved. </w:t>
      </w:r>
    </w:p>
    <w:p w:rsidR="007C58D9" w:rsidRPr="00BF60F3" w:rsidRDefault="00EB2251" w:rsidP="00EB2251">
      <w:pPr>
        <w:spacing w:after="240" w:line="240" w:lineRule="auto"/>
        <w:rPr>
          <w:rFonts w:ascii="Times New Roman" w:hAnsi="Times New Roman" w:cs="Times New Roman"/>
          <w:sz w:val="24"/>
        </w:rPr>
      </w:pPr>
      <w:r w:rsidRPr="00BF60F3">
        <w:rPr>
          <w:rFonts w:ascii="Times New Roman" w:hAnsi="Times New Roman" w:cs="Times New Roman"/>
          <w:sz w:val="24"/>
        </w:rPr>
        <w:t xml:space="preserve">The </w:t>
      </w:r>
      <w:r w:rsidR="009063AA" w:rsidRPr="00BF60F3">
        <w:rPr>
          <w:rFonts w:ascii="Times New Roman" w:hAnsi="Times New Roman" w:cs="Times New Roman"/>
          <w:sz w:val="24"/>
        </w:rPr>
        <w:t xml:space="preserve">SEQ </w:t>
      </w:r>
      <w:r w:rsidRPr="00BF60F3">
        <w:rPr>
          <w:rFonts w:ascii="Times New Roman" w:hAnsi="Times New Roman" w:cs="Times New Roman"/>
          <w:sz w:val="24"/>
        </w:rPr>
        <w:t>were given out in</w:t>
      </w:r>
      <w:r w:rsidR="009063AA" w:rsidRPr="00BF60F3">
        <w:rPr>
          <w:rFonts w:ascii="Times New Roman" w:hAnsi="Times New Roman" w:cs="Times New Roman"/>
          <w:sz w:val="24"/>
        </w:rPr>
        <w:t xml:space="preserve"> hard copy </w:t>
      </w:r>
      <w:r w:rsidRPr="00BF60F3">
        <w:rPr>
          <w:rFonts w:ascii="Times New Roman" w:hAnsi="Times New Roman" w:cs="Times New Roman"/>
          <w:sz w:val="24"/>
        </w:rPr>
        <w:t>during the last few weeks of each course – which meant that only students who attended class could complete it. It is normal for attendance</w:t>
      </w:r>
      <w:r w:rsidR="009063AA" w:rsidRPr="00BF60F3">
        <w:rPr>
          <w:rFonts w:ascii="Times New Roman" w:hAnsi="Times New Roman" w:cs="Times New Roman"/>
          <w:sz w:val="24"/>
        </w:rPr>
        <w:t xml:space="preserve"> to dip </w:t>
      </w:r>
      <w:r w:rsidRPr="00BF60F3">
        <w:rPr>
          <w:rFonts w:ascii="Times New Roman" w:hAnsi="Times New Roman" w:cs="Times New Roman"/>
          <w:sz w:val="24"/>
        </w:rPr>
        <w:t xml:space="preserve">towards the end of a course but, across the whole university, </w:t>
      </w:r>
      <w:r w:rsidR="00244DBC" w:rsidRPr="00BF60F3">
        <w:rPr>
          <w:rFonts w:ascii="Times New Roman" w:hAnsi="Times New Roman" w:cs="Times New Roman"/>
          <w:sz w:val="24"/>
        </w:rPr>
        <w:t xml:space="preserve">52.9% </w:t>
      </w:r>
      <w:r w:rsidRPr="00BF60F3">
        <w:rPr>
          <w:rFonts w:ascii="Times New Roman" w:hAnsi="Times New Roman" w:cs="Times New Roman"/>
          <w:sz w:val="24"/>
        </w:rPr>
        <w:t xml:space="preserve">of undergraduate students </w:t>
      </w:r>
      <w:r w:rsidR="00244DBC" w:rsidRPr="00BF60F3">
        <w:rPr>
          <w:rFonts w:ascii="Times New Roman" w:hAnsi="Times New Roman" w:cs="Times New Roman"/>
          <w:sz w:val="24"/>
        </w:rPr>
        <w:t>complete</w:t>
      </w:r>
      <w:r w:rsidRPr="00BF60F3">
        <w:rPr>
          <w:rFonts w:ascii="Times New Roman" w:hAnsi="Times New Roman" w:cs="Times New Roman"/>
          <w:sz w:val="24"/>
        </w:rPr>
        <w:t>d</w:t>
      </w:r>
      <w:r w:rsidR="00244DBC" w:rsidRPr="00BF60F3">
        <w:rPr>
          <w:rFonts w:ascii="Times New Roman" w:hAnsi="Times New Roman" w:cs="Times New Roman"/>
          <w:sz w:val="24"/>
        </w:rPr>
        <w:t xml:space="preserve"> SEQ</w:t>
      </w:r>
      <w:r w:rsidRPr="00BF60F3">
        <w:rPr>
          <w:rFonts w:ascii="Times New Roman" w:hAnsi="Times New Roman" w:cs="Times New Roman"/>
          <w:sz w:val="24"/>
        </w:rPr>
        <w:t xml:space="preserve">s. </w:t>
      </w:r>
      <w:r w:rsidR="00B01162" w:rsidRPr="00BF60F3">
        <w:rPr>
          <w:rFonts w:ascii="Times New Roman" w:hAnsi="Times New Roman" w:cs="Times New Roman"/>
          <w:sz w:val="24"/>
        </w:rPr>
        <w:t>The SEQs were</w:t>
      </w:r>
      <w:r w:rsidR="000647A5" w:rsidRPr="00BF60F3">
        <w:rPr>
          <w:rFonts w:ascii="Times New Roman" w:hAnsi="Times New Roman" w:cs="Times New Roman"/>
          <w:sz w:val="24"/>
        </w:rPr>
        <w:t xml:space="preserve"> completed before students were examined</w:t>
      </w:r>
      <w:r w:rsidR="00B01162" w:rsidRPr="00BF60F3">
        <w:rPr>
          <w:rFonts w:ascii="Times New Roman" w:hAnsi="Times New Roman" w:cs="Times New Roman"/>
          <w:sz w:val="24"/>
        </w:rPr>
        <w:t>, which meant</w:t>
      </w:r>
      <w:r w:rsidR="000647A5" w:rsidRPr="00BF60F3">
        <w:rPr>
          <w:rFonts w:ascii="Times New Roman" w:hAnsi="Times New Roman" w:cs="Times New Roman"/>
          <w:sz w:val="24"/>
        </w:rPr>
        <w:t xml:space="preserve"> that students did not know that a particular course would ha</w:t>
      </w:r>
      <w:r w:rsidRPr="00BF60F3">
        <w:rPr>
          <w:rFonts w:ascii="Times New Roman" w:hAnsi="Times New Roman" w:cs="Times New Roman"/>
          <w:sz w:val="24"/>
        </w:rPr>
        <w:t xml:space="preserve">ve a high or low failure rate. The SEQ </w:t>
      </w:r>
      <w:r w:rsidR="000647A5" w:rsidRPr="00BF60F3">
        <w:rPr>
          <w:rFonts w:ascii="Times New Roman" w:hAnsi="Times New Roman" w:cs="Times New Roman"/>
          <w:sz w:val="24"/>
        </w:rPr>
        <w:t>has two sections: a quantitative evaluation of the course and lecturer</w:t>
      </w:r>
      <w:r w:rsidRPr="00BF60F3">
        <w:rPr>
          <w:rFonts w:ascii="Times New Roman" w:hAnsi="Times New Roman" w:cs="Times New Roman"/>
          <w:sz w:val="24"/>
        </w:rPr>
        <w:t xml:space="preserve"> using 36 </w:t>
      </w:r>
      <w:proofErr w:type="spellStart"/>
      <w:r w:rsidRPr="00BF60F3">
        <w:rPr>
          <w:rFonts w:ascii="Times New Roman" w:hAnsi="Times New Roman" w:cs="Times New Roman"/>
          <w:sz w:val="24"/>
        </w:rPr>
        <w:t>likert</w:t>
      </w:r>
      <w:proofErr w:type="spellEnd"/>
      <w:r w:rsidRPr="00BF60F3">
        <w:rPr>
          <w:rFonts w:ascii="Times New Roman" w:hAnsi="Times New Roman" w:cs="Times New Roman"/>
          <w:sz w:val="24"/>
        </w:rPr>
        <w:t>-type questions</w:t>
      </w:r>
      <w:r w:rsidR="000647A5" w:rsidRPr="00BF60F3">
        <w:rPr>
          <w:rFonts w:ascii="Times New Roman" w:hAnsi="Times New Roman" w:cs="Times New Roman"/>
          <w:sz w:val="24"/>
        </w:rPr>
        <w:t xml:space="preserve"> followed by a </w:t>
      </w:r>
      <w:r w:rsidRPr="00BF60F3">
        <w:rPr>
          <w:rFonts w:ascii="Times New Roman" w:hAnsi="Times New Roman" w:cs="Times New Roman"/>
          <w:sz w:val="24"/>
        </w:rPr>
        <w:t xml:space="preserve">five open ended questions that allowed for </w:t>
      </w:r>
      <w:r w:rsidR="000647A5" w:rsidRPr="00BF60F3">
        <w:rPr>
          <w:rFonts w:ascii="Times New Roman" w:hAnsi="Times New Roman" w:cs="Times New Roman"/>
          <w:sz w:val="24"/>
        </w:rPr>
        <w:t xml:space="preserve">qualitative </w:t>
      </w:r>
      <w:r w:rsidRPr="00BF60F3">
        <w:rPr>
          <w:rFonts w:ascii="Times New Roman" w:hAnsi="Times New Roman" w:cs="Times New Roman"/>
          <w:sz w:val="24"/>
        </w:rPr>
        <w:t>feedback</w:t>
      </w:r>
      <w:r w:rsidR="000647A5" w:rsidRPr="00BF60F3">
        <w:rPr>
          <w:rFonts w:ascii="Times New Roman" w:hAnsi="Times New Roman" w:cs="Times New Roman"/>
          <w:sz w:val="24"/>
        </w:rPr>
        <w:t>.</w:t>
      </w:r>
      <w:r w:rsidRPr="00BF60F3">
        <w:rPr>
          <w:rFonts w:ascii="Times New Roman" w:hAnsi="Times New Roman" w:cs="Times New Roman"/>
          <w:sz w:val="24"/>
        </w:rPr>
        <w:t xml:space="preserve"> </w:t>
      </w:r>
    </w:p>
    <w:p w:rsidR="000647A5" w:rsidRPr="00BF60F3" w:rsidRDefault="00EB2251" w:rsidP="00EB2251">
      <w:pPr>
        <w:spacing w:after="240" w:line="240" w:lineRule="auto"/>
        <w:rPr>
          <w:rFonts w:ascii="Times New Roman" w:hAnsi="Times New Roman" w:cs="Times New Roman"/>
          <w:sz w:val="24"/>
        </w:rPr>
      </w:pPr>
      <w:r w:rsidRPr="00BF60F3">
        <w:rPr>
          <w:rFonts w:ascii="Times New Roman" w:hAnsi="Times New Roman" w:cs="Times New Roman"/>
          <w:sz w:val="24"/>
        </w:rPr>
        <w:t>Whilst all the data developed from the SEQs is important, the voice of the students is most clearly heard in their qualitative responses.</w:t>
      </w:r>
      <w:r w:rsidR="000647A5" w:rsidRPr="00BF60F3">
        <w:rPr>
          <w:rFonts w:ascii="Times New Roman" w:hAnsi="Times New Roman" w:cs="Times New Roman"/>
          <w:sz w:val="24"/>
        </w:rPr>
        <w:t xml:space="preserve"> </w:t>
      </w:r>
      <w:r w:rsidR="00721E64" w:rsidRPr="00BF60F3">
        <w:rPr>
          <w:rFonts w:ascii="Times New Roman" w:hAnsi="Times New Roman" w:cs="Times New Roman"/>
          <w:sz w:val="24"/>
        </w:rPr>
        <w:t>Further, this research was conducted wit</w:t>
      </w:r>
      <w:r w:rsidR="00BF6F5B" w:rsidRPr="00BF60F3">
        <w:rPr>
          <w:rFonts w:ascii="Times New Roman" w:hAnsi="Times New Roman" w:cs="Times New Roman"/>
          <w:sz w:val="24"/>
        </w:rPr>
        <w:t>hin a phenomenological paradigm where</w:t>
      </w:r>
      <w:r w:rsidR="00721E64" w:rsidRPr="00BF60F3">
        <w:rPr>
          <w:rFonts w:ascii="Times New Roman" w:hAnsi="Times New Roman" w:cs="Times New Roman"/>
          <w:sz w:val="24"/>
        </w:rPr>
        <w:t xml:space="preserve"> there is a greater likelihood of enriched interplay of data</w:t>
      </w:r>
      <w:r w:rsidR="002E5A7F" w:rsidRPr="00BF60F3">
        <w:rPr>
          <w:rFonts w:ascii="Times New Roman" w:hAnsi="Times New Roman" w:cs="Times New Roman"/>
          <w:sz w:val="24"/>
        </w:rPr>
        <w:t>,</w:t>
      </w:r>
      <w:r w:rsidR="00721E64" w:rsidRPr="00BF60F3">
        <w:rPr>
          <w:rFonts w:ascii="Times New Roman" w:hAnsi="Times New Roman" w:cs="Times New Roman"/>
          <w:sz w:val="24"/>
        </w:rPr>
        <w:t xml:space="preserve"> </w:t>
      </w:r>
      <w:r w:rsidR="002E5A7F" w:rsidRPr="00BF60F3">
        <w:rPr>
          <w:rFonts w:ascii="Times New Roman" w:hAnsi="Times New Roman" w:cs="Times New Roman"/>
          <w:sz w:val="24"/>
        </w:rPr>
        <w:t xml:space="preserve">theoretical clarity and deeper reflection </w:t>
      </w:r>
      <w:r w:rsidR="00721E64" w:rsidRPr="00BF60F3">
        <w:rPr>
          <w:rFonts w:ascii="Times New Roman" w:hAnsi="Times New Roman" w:cs="Times New Roman"/>
          <w:sz w:val="24"/>
        </w:rPr>
        <w:t>when qualitative data is used</w:t>
      </w:r>
      <w:r w:rsidR="002E5A7F" w:rsidRPr="00BF60F3">
        <w:rPr>
          <w:rFonts w:ascii="Times New Roman" w:hAnsi="Times New Roman" w:cs="Times New Roman"/>
          <w:sz w:val="24"/>
        </w:rPr>
        <w:t xml:space="preserve"> (</w:t>
      </w:r>
      <w:proofErr w:type="spellStart"/>
      <w:r w:rsidR="002E5A7F" w:rsidRPr="00BF60F3">
        <w:rPr>
          <w:rFonts w:ascii="Times New Roman" w:hAnsi="Times New Roman" w:cs="Times New Roman"/>
          <w:sz w:val="24"/>
        </w:rPr>
        <w:t>Giorgi</w:t>
      </w:r>
      <w:proofErr w:type="spellEnd"/>
      <w:r w:rsidR="002E5A7F" w:rsidRPr="00BF60F3">
        <w:rPr>
          <w:rFonts w:ascii="Times New Roman" w:hAnsi="Times New Roman" w:cs="Times New Roman"/>
          <w:sz w:val="24"/>
        </w:rPr>
        <w:t>, 1994)</w:t>
      </w:r>
      <w:r w:rsidR="00721E64" w:rsidRPr="00BF60F3">
        <w:rPr>
          <w:rFonts w:ascii="Times New Roman" w:hAnsi="Times New Roman" w:cs="Times New Roman"/>
          <w:sz w:val="24"/>
        </w:rPr>
        <w:t>.</w:t>
      </w:r>
      <w:r w:rsidR="00EF6467" w:rsidRPr="00BF60F3">
        <w:rPr>
          <w:rFonts w:ascii="Times New Roman" w:hAnsi="Times New Roman" w:cs="Times New Roman"/>
          <w:sz w:val="24"/>
        </w:rPr>
        <w:t xml:space="preserve"> Despite the </w:t>
      </w:r>
      <w:r w:rsidR="00EF6467" w:rsidRPr="00BF60F3">
        <w:rPr>
          <w:rFonts w:ascii="Times New Roman" w:hAnsi="Times New Roman" w:cs="Times New Roman"/>
          <w:sz w:val="24"/>
        </w:rPr>
        <w:lastRenderedPageBreak/>
        <w:t>potential richness of data, it is still quite rare to focus on the qualitative aspects of SEQ (</w:t>
      </w:r>
      <w:proofErr w:type="spellStart"/>
      <w:r w:rsidR="00EF6467" w:rsidRPr="00BF60F3">
        <w:rPr>
          <w:rFonts w:ascii="Times New Roman" w:hAnsi="Times New Roman" w:cs="Times New Roman"/>
          <w:sz w:val="24"/>
        </w:rPr>
        <w:t>Wongsurawat</w:t>
      </w:r>
      <w:proofErr w:type="spellEnd"/>
      <w:r w:rsidR="00EF6467" w:rsidRPr="00BF60F3">
        <w:rPr>
          <w:rFonts w:ascii="Times New Roman" w:hAnsi="Times New Roman" w:cs="Times New Roman"/>
          <w:sz w:val="24"/>
        </w:rPr>
        <w:t xml:space="preserve">, 2011) and this research hopes to mine this data seam as a means examine an under-examined area. </w:t>
      </w:r>
      <w:r w:rsidR="001675B8" w:rsidRPr="00BF60F3">
        <w:rPr>
          <w:rFonts w:ascii="Times New Roman" w:hAnsi="Times New Roman" w:cs="Times New Roman"/>
          <w:sz w:val="24"/>
        </w:rPr>
        <w:t>Therefore</w:t>
      </w:r>
      <w:r w:rsidR="00721E64" w:rsidRPr="00BF60F3">
        <w:rPr>
          <w:rFonts w:ascii="Times New Roman" w:hAnsi="Times New Roman" w:cs="Times New Roman"/>
          <w:sz w:val="24"/>
        </w:rPr>
        <w:t>,</w:t>
      </w:r>
      <w:r w:rsidR="001675B8" w:rsidRPr="00BF60F3">
        <w:rPr>
          <w:rFonts w:ascii="Times New Roman" w:hAnsi="Times New Roman" w:cs="Times New Roman"/>
          <w:sz w:val="24"/>
        </w:rPr>
        <w:t xml:space="preserve"> this article only examines the data developed from the qualitative responses of the SEQ. </w:t>
      </w:r>
      <w:r w:rsidR="000647A5" w:rsidRPr="00BF60F3">
        <w:rPr>
          <w:rFonts w:ascii="Times New Roman" w:hAnsi="Times New Roman" w:cs="Times New Roman"/>
          <w:sz w:val="24"/>
        </w:rPr>
        <w:t xml:space="preserve">In order to establish where students felt courses could be improved </w:t>
      </w:r>
      <w:r w:rsidRPr="00BF60F3">
        <w:rPr>
          <w:rFonts w:ascii="Times New Roman" w:hAnsi="Times New Roman" w:cs="Times New Roman"/>
          <w:sz w:val="24"/>
        </w:rPr>
        <w:t>one particular question from the</w:t>
      </w:r>
      <w:r w:rsidR="000647A5" w:rsidRPr="00BF60F3">
        <w:rPr>
          <w:rFonts w:ascii="Times New Roman" w:hAnsi="Times New Roman" w:cs="Times New Roman"/>
          <w:sz w:val="24"/>
        </w:rPr>
        <w:t xml:space="preserve"> qualitative section of the SEQ was analysed. The focus here was on the SEQ question, </w:t>
      </w:r>
      <w:r w:rsidR="000647A5" w:rsidRPr="00BF60F3">
        <w:rPr>
          <w:rFonts w:ascii="Times New Roman" w:hAnsi="Times New Roman" w:cs="Times New Roman"/>
          <w:i/>
          <w:sz w:val="24"/>
        </w:rPr>
        <w:t>‘How do you think this course could be improved?</w:t>
      </w:r>
      <w:r w:rsidR="000647A5" w:rsidRPr="00BF60F3">
        <w:rPr>
          <w:rFonts w:ascii="Times New Roman" w:hAnsi="Times New Roman" w:cs="Times New Roman"/>
          <w:sz w:val="24"/>
        </w:rPr>
        <w:t xml:space="preserve">’ This particular question was selected as it both highlighted areas of weakness and looked for solutions. </w:t>
      </w:r>
      <w:r w:rsidR="009063AA" w:rsidRPr="00BF60F3">
        <w:rPr>
          <w:rFonts w:ascii="Times New Roman" w:hAnsi="Times New Roman" w:cs="Times New Roman"/>
          <w:sz w:val="24"/>
        </w:rPr>
        <w:t>In total 1734 students were enrolled in the 19 courses with high failure</w:t>
      </w:r>
      <w:r w:rsidR="007A4A06" w:rsidRPr="00BF60F3">
        <w:rPr>
          <w:rFonts w:ascii="Times New Roman" w:hAnsi="Times New Roman" w:cs="Times New Roman"/>
          <w:sz w:val="24"/>
        </w:rPr>
        <w:t xml:space="preserve"> rates and 779 completed the SEQ</w:t>
      </w:r>
      <w:r w:rsidR="009063AA" w:rsidRPr="00BF60F3">
        <w:rPr>
          <w:rFonts w:ascii="Times New Roman" w:hAnsi="Times New Roman" w:cs="Times New Roman"/>
          <w:sz w:val="24"/>
        </w:rPr>
        <w:t xml:space="preserve"> </w:t>
      </w:r>
      <w:r w:rsidR="007A4A06" w:rsidRPr="00BF60F3">
        <w:rPr>
          <w:rFonts w:ascii="Times New Roman" w:hAnsi="Times New Roman" w:cs="Times New Roman"/>
          <w:sz w:val="24"/>
        </w:rPr>
        <w:t xml:space="preserve">– a response rate of 44.9% which is </w:t>
      </w:r>
      <w:r w:rsidR="00244DBC" w:rsidRPr="00BF60F3">
        <w:rPr>
          <w:rFonts w:ascii="Times New Roman" w:hAnsi="Times New Roman" w:cs="Times New Roman"/>
          <w:sz w:val="24"/>
        </w:rPr>
        <w:t>lower than uni</w:t>
      </w:r>
      <w:r w:rsidR="007A4A06" w:rsidRPr="00BF60F3">
        <w:rPr>
          <w:rFonts w:ascii="Times New Roman" w:hAnsi="Times New Roman" w:cs="Times New Roman"/>
          <w:sz w:val="24"/>
        </w:rPr>
        <w:t xml:space="preserve">versity </w:t>
      </w:r>
      <w:r w:rsidR="00244DBC" w:rsidRPr="00BF60F3">
        <w:rPr>
          <w:rFonts w:ascii="Times New Roman" w:hAnsi="Times New Roman" w:cs="Times New Roman"/>
          <w:sz w:val="24"/>
        </w:rPr>
        <w:t>ave</w:t>
      </w:r>
      <w:r w:rsidR="007A4A06" w:rsidRPr="00BF60F3">
        <w:rPr>
          <w:rFonts w:ascii="Times New Roman" w:hAnsi="Times New Roman" w:cs="Times New Roman"/>
          <w:sz w:val="24"/>
        </w:rPr>
        <w:t>rage undergraduate response rate</w:t>
      </w:r>
      <w:r w:rsidR="00BF6F5B" w:rsidRPr="00BF60F3">
        <w:rPr>
          <w:rFonts w:ascii="Times New Roman" w:hAnsi="Times New Roman" w:cs="Times New Roman"/>
          <w:sz w:val="24"/>
        </w:rPr>
        <w:t>.</w:t>
      </w:r>
      <w:r w:rsidRPr="00BF60F3">
        <w:rPr>
          <w:rFonts w:ascii="Times New Roman" w:hAnsi="Times New Roman" w:cs="Times New Roman"/>
          <w:sz w:val="24"/>
        </w:rPr>
        <w:t xml:space="preserve"> </w:t>
      </w:r>
      <w:r w:rsidR="009063AA" w:rsidRPr="00BF60F3">
        <w:rPr>
          <w:rFonts w:ascii="Times New Roman" w:hAnsi="Times New Roman" w:cs="Times New Roman"/>
          <w:sz w:val="24"/>
        </w:rPr>
        <w:t>Table 1</w:t>
      </w:r>
      <w:r w:rsidRPr="00BF60F3">
        <w:rPr>
          <w:rFonts w:ascii="Times New Roman" w:hAnsi="Times New Roman" w:cs="Times New Roman"/>
          <w:sz w:val="24"/>
        </w:rPr>
        <w:t xml:space="preserve"> gives an overview of the 19 courses.</w:t>
      </w:r>
    </w:p>
    <w:p w:rsidR="007C58D9" w:rsidRPr="00BF60F3" w:rsidRDefault="007C58D9" w:rsidP="00EB2251">
      <w:pPr>
        <w:spacing w:after="240" w:line="240" w:lineRule="auto"/>
        <w:rPr>
          <w:rFonts w:ascii="Times New Roman" w:hAnsi="Times New Roman" w:cs="Times New Roman"/>
          <w:sz w:val="24"/>
        </w:rPr>
      </w:pPr>
    </w:p>
    <w:p w:rsidR="000647A5" w:rsidRPr="00BF60F3" w:rsidRDefault="000647A5" w:rsidP="00E36EE2">
      <w:pPr>
        <w:spacing w:after="0" w:line="240" w:lineRule="auto"/>
        <w:rPr>
          <w:rFonts w:ascii="Times New Roman" w:hAnsi="Times New Roman" w:cs="Times New Roman"/>
          <w:sz w:val="20"/>
        </w:rPr>
      </w:pPr>
      <w:r w:rsidRPr="00BF60F3">
        <w:rPr>
          <w:rFonts w:ascii="Times New Roman" w:hAnsi="Times New Roman" w:cs="Times New Roman"/>
          <w:sz w:val="20"/>
        </w:rPr>
        <w:t>Table 1, Undergraduate courses with a failure rate ≥50%</w:t>
      </w:r>
    </w:p>
    <w:tbl>
      <w:tblPr>
        <w:tblW w:w="7200" w:type="dxa"/>
        <w:tblInd w:w="108" w:type="dxa"/>
        <w:tblLayout w:type="fixed"/>
        <w:tblLook w:val="04A0" w:firstRow="1" w:lastRow="0" w:firstColumn="1" w:lastColumn="0" w:noHBand="0" w:noVBand="1"/>
      </w:tblPr>
      <w:tblGrid>
        <w:gridCol w:w="990"/>
        <w:gridCol w:w="990"/>
        <w:gridCol w:w="1260"/>
        <w:gridCol w:w="1170"/>
        <w:gridCol w:w="1260"/>
        <w:gridCol w:w="1530"/>
      </w:tblGrid>
      <w:tr w:rsidR="00BF60F3" w:rsidRPr="00BF60F3" w:rsidTr="00830931">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931" w:rsidRPr="00BF60F3" w:rsidRDefault="00830931"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Course no.</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931" w:rsidRPr="00BF60F3" w:rsidRDefault="00830931"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Year of study</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931" w:rsidRPr="00BF60F3" w:rsidRDefault="00830931" w:rsidP="00E36EE2">
            <w:pPr>
              <w:tabs>
                <w:tab w:val="left" w:pos="702"/>
              </w:tabs>
              <w:spacing w:after="0" w:line="240" w:lineRule="auto"/>
              <w:ind w:left="-108"/>
              <w:rPr>
                <w:rFonts w:ascii="Times New Roman" w:hAnsi="Times New Roman" w:cs="Times New Roman"/>
                <w:b/>
                <w:sz w:val="20"/>
                <w:szCs w:val="20"/>
              </w:rPr>
            </w:pPr>
            <w:r w:rsidRPr="00BF60F3">
              <w:rPr>
                <w:rFonts w:ascii="Times New Roman" w:hAnsi="Times New Roman" w:cs="Times New Roman"/>
                <w:b/>
                <w:sz w:val="20"/>
                <w:szCs w:val="20"/>
              </w:rPr>
              <w:t>No. of students registered</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931" w:rsidRPr="00BF60F3" w:rsidRDefault="00830931" w:rsidP="00E36EE2">
            <w:pPr>
              <w:spacing w:after="0" w:line="240" w:lineRule="auto"/>
              <w:ind w:left="-108" w:right="-108"/>
              <w:rPr>
                <w:rFonts w:ascii="Times New Roman" w:hAnsi="Times New Roman" w:cs="Times New Roman"/>
                <w:b/>
                <w:sz w:val="20"/>
                <w:szCs w:val="20"/>
              </w:rPr>
            </w:pPr>
            <w:r w:rsidRPr="00BF60F3">
              <w:rPr>
                <w:rFonts w:ascii="Times New Roman" w:hAnsi="Times New Roman" w:cs="Times New Roman"/>
                <w:b/>
                <w:sz w:val="20"/>
                <w:szCs w:val="20"/>
              </w:rPr>
              <w:t>Failure (%)</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931" w:rsidRPr="00BF60F3" w:rsidRDefault="00830931" w:rsidP="00E36EE2">
            <w:pPr>
              <w:spacing w:after="0" w:line="240" w:lineRule="auto"/>
              <w:ind w:left="-108" w:right="-108"/>
              <w:rPr>
                <w:rFonts w:ascii="Times New Roman" w:hAnsi="Times New Roman" w:cs="Times New Roman"/>
                <w:b/>
                <w:sz w:val="20"/>
                <w:szCs w:val="20"/>
              </w:rPr>
            </w:pPr>
            <w:r w:rsidRPr="00BF60F3">
              <w:rPr>
                <w:rFonts w:ascii="Times New Roman" w:hAnsi="Times New Roman" w:cs="Times New Roman"/>
                <w:b/>
                <w:sz w:val="20"/>
                <w:szCs w:val="20"/>
              </w:rPr>
              <w:t>Actual No. of fails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0931" w:rsidRPr="00BF60F3" w:rsidRDefault="00830931" w:rsidP="00E36EE2">
            <w:pPr>
              <w:spacing w:after="0" w:line="240" w:lineRule="auto"/>
              <w:ind w:left="-108" w:right="-108"/>
              <w:rPr>
                <w:rFonts w:ascii="Times New Roman" w:hAnsi="Times New Roman" w:cs="Times New Roman"/>
                <w:b/>
                <w:sz w:val="20"/>
                <w:szCs w:val="20"/>
              </w:rPr>
            </w:pPr>
            <w:r w:rsidRPr="00BF60F3">
              <w:rPr>
                <w:rFonts w:ascii="Times New Roman" w:hAnsi="Times New Roman" w:cs="Times New Roman"/>
                <w:b/>
                <w:sz w:val="20"/>
                <w:szCs w:val="20"/>
              </w:rPr>
              <w:t>No. of students who completed SEQ</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128</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50</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64</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70</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2</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55</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50</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27</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46</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3</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8</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50</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4</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4</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4</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90</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50</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45</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50</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5</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103</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50</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52</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14</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6</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105</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51</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54</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42</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7</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52</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51</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27</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40</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8</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30</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53</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16</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26</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9</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28</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54</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15</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35</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10</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140</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54</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76</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65</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11</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50</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54</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27</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12</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12</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58</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13</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90</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58</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52</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52</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14</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206</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60</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124</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34</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15</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358</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64</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229</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131</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16</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60</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78</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47</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49</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17</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101</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78</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79</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65</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18</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19</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79</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15</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8</w:t>
            </w:r>
          </w:p>
        </w:tc>
      </w:tr>
      <w:tr w:rsidR="00BF60F3" w:rsidRPr="00BF60F3" w:rsidTr="00830931">
        <w:tc>
          <w:tcPr>
            <w:tcW w:w="99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b/>
                <w:sz w:val="20"/>
              </w:rPr>
            </w:pPr>
            <w:r w:rsidRPr="00BF60F3">
              <w:rPr>
                <w:rFonts w:ascii="Times New Roman" w:hAnsi="Times New Roman" w:cs="Times New Roman"/>
                <w:b/>
                <w:sz w:val="20"/>
              </w:rPr>
              <w:t>19</w:t>
            </w:r>
          </w:p>
        </w:tc>
        <w:tc>
          <w:tcPr>
            <w:tcW w:w="99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2</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99</w:t>
            </w:r>
          </w:p>
        </w:tc>
        <w:tc>
          <w:tcPr>
            <w:tcW w:w="1170" w:type="dxa"/>
            <w:tcBorders>
              <w:top w:val="single" w:sz="4" w:space="0" w:color="auto"/>
              <w:left w:val="single" w:sz="4" w:space="0" w:color="auto"/>
              <w:bottom w:val="single" w:sz="4" w:space="0" w:color="auto"/>
              <w:right w:val="single" w:sz="4" w:space="0" w:color="auto"/>
            </w:tcBorders>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79</w:t>
            </w:r>
          </w:p>
        </w:tc>
        <w:tc>
          <w:tcPr>
            <w:tcW w:w="126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78</w:t>
            </w:r>
          </w:p>
        </w:tc>
        <w:tc>
          <w:tcPr>
            <w:tcW w:w="1530" w:type="dxa"/>
            <w:tcBorders>
              <w:top w:val="single" w:sz="4" w:space="0" w:color="auto"/>
              <w:left w:val="single" w:sz="4" w:space="0" w:color="auto"/>
              <w:bottom w:val="single" w:sz="4" w:space="0" w:color="auto"/>
              <w:right w:val="single" w:sz="4" w:space="0" w:color="auto"/>
            </w:tcBorders>
            <w:hideMark/>
          </w:tcPr>
          <w:p w:rsidR="007A4A06" w:rsidRPr="00BF60F3" w:rsidRDefault="007A4A06" w:rsidP="00E36EE2">
            <w:pPr>
              <w:spacing w:after="0" w:line="240" w:lineRule="auto"/>
              <w:rPr>
                <w:rFonts w:ascii="Times New Roman" w:hAnsi="Times New Roman" w:cs="Times New Roman"/>
                <w:sz w:val="20"/>
              </w:rPr>
            </w:pPr>
            <w:r w:rsidRPr="00BF60F3">
              <w:rPr>
                <w:rFonts w:ascii="Times New Roman" w:hAnsi="Times New Roman" w:cs="Times New Roman"/>
                <w:sz w:val="20"/>
              </w:rPr>
              <w:t>34</w:t>
            </w:r>
          </w:p>
        </w:tc>
      </w:tr>
    </w:tbl>
    <w:p w:rsidR="00B07B3C" w:rsidRPr="00BF60F3" w:rsidRDefault="00B07B3C" w:rsidP="00B07B3C">
      <w:pPr>
        <w:spacing w:after="0" w:line="240" w:lineRule="auto"/>
        <w:rPr>
          <w:rFonts w:ascii="Times New Roman" w:hAnsi="Times New Roman" w:cs="Times New Roman"/>
          <w:sz w:val="24"/>
        </w:rPr>
      </w:pPr>
    </w:p>
    <w:p w:rsidR="007C58D9" w:rsidRPr="00BF60F3" w:rsidRDefault="007C58D9" w:rsidP="00B07B3C">
      <w:pPr>
        <w:spacing w:after="0" w:line="240" w:lineRule="auto"/>
        <w:rPr>
          <w:rFonts w:ascii="Times New Roman" w:hAnsi="Times New Roman" w:cs="Times New Roman"/>
          <w:sz w:val="24"/>
        </w:rPr>
      </w:pPr>
    </w:p>
    <w:p w:rsidR="00244DBC" w:rsidRPr="00BF60F3" w:rsidRDefault="00244DBC" w:rsidP="00B07B3C">
      <w:pPr>
        <w:spacing w:after="0" w:line="240" w:lineRule="auto"/>
        <w:rPr>
          <w:rFonts w:ascii="Times New Roman" w:hAnsi="Times New Roman" w:cs="Times New Roman"/>
          <w:sz w:val="24"/>
        </w:rPr>
      </w:pPr>
      <w:r w:rsidRPr="00BF60F3">
        <w:rPr>
          <w:rFonts w:ascii="Times New Roman" w:hAnsi="Times New Roman" w:cs="Times New Roman"/>
          <w:sz w:val="24"/>
        </w:rPr>
        <w:t xml:space="preserve">In order to establish a </w:t>
      </w:r>
      <w:r w:rsidRPr="00BF60F3">
        <w:rPr>
          <w:rFonts w:ascii="Times New Roman" w:hAnsi="Times New Roman" w:cs="Times New Roman"/>
          <w:sz w:val="24"/>
          <w:szCs w:val="24"/>
        </w:rPr>
        <w:t xml:space="preserve">baseline, 19 courses with failure rates ≤25% were selected to represent a cross section of the three undergraduate year groups that best resembled the high fails group (see Table 2). </w:t>
      </w:r>
      <w:r w:rsidR="00663EF3" w:rsidRPr="00BF60F3">
        <w:rPr>
          <w:rFonts w:ascii="Times New Roman" w:hAnsi="Times New Roman" w:cs="Times New Roman"/>
          <w:sz w:val="24"/>
          <w:szCs w:val="24"/>
        </w:rPr>
        <w:t>The group with the high failure rate represents the lowest attaining group but the baseline group was selected not just to offer a sample of courses with low failure rates but also to minimise the impact of some of the variables found in the literature. Therefore the spread of class size, acade</w:t>
      </w:r>
      <w:r w:rsidR="00C81451" w:rsidRPr="00BF60F3">
        <w:rPr>
          <w:rFonts w:ascii="Times New Roman" w:hAnsi="Times New Roman" w:cs="Times New Roman"/>
          <w:sz w:val="24"/>
          <w:szCs w:val="24"/>
        </w:rPr>
        <w:t>mic discipline and year of study are approximately the same in both groups. The research populations were also similar – there were 1734 students enrolled on the courses with high failure rates and 1735 students enrolled on</w:t>
      </w:r>
      <w:r w:rsidRPr="00BF60F3">
        <w:rPr>
          <w:rFonts w:ascii="Times New Roman" w:hAnsi="Times New Roman" w:cs="Times New Roman"/>
          <w:sz w:val="24"/>
          <w:szCs w:val="24"/>
        </w:rPr>
        <w:t xml:space="preserve"> the ‘baseline’ co</w:t>
      </w:r>
      <w:r w:rsidR="00B07B3C" w:rsidRPr="00BF60F3">
        <w:rPr>
          <w:rFonts w:ascii="Times New Roman" w:hAnsi="Times New Roman" w:cs="Times New Roman"/>
          <w:sz w:val="24"/>
          <w:szCs w:val="24"/>
        </w:rPr>
        <w:t>urses</w:t>
      </w:r>
      <w:r w:rsidR="00C81451" w:rsidRPr="00BF60F3">
        <w:rPr>
          <w:rFonts w:ascii="Times New Roman" w:hAnsi="Times New Roman" w:cs="Times New Roman"/>
          <w:sz w:val="24"/>
          <w:szCs w:val="24"/>
        </w:rPr>
        <w:t xml:space="preserve">. </w:t>
      </w:r>
      <w:r w:rsidR="00B07B3C" w:rsidRPr="00BF60F3">
        <w:rPr>
          <w:rFonts w:ascii="Times New Roman" w:hAnsi="Times New Roman" w:cs="Times New Roman"/>
          <w:sz w:val="24"/>
          <w:szCs w:val="24"/>
        </w:rPr>
        <w:t xml:space="preserve"> </w:t>
      </w:r>
      <w:r w:rsidR="00C81451" w:rsidRPr="00BF60F3">
        <w:rPr>
          <w:rFonts w:ascii="Times New Roman" w:hAnsi="Times New Roman" w:cs="Times New Roman"/>
          <w:sz w:val="24"/>
          <w:szCs w:val="24"/>
        </w:rPr>
        <w:t>In total</w:t>
      </w:r>
      <w:r w:rsidR="00B07B3C" w:rsidRPr="00BF60F3">
        <w:rPr>
          <w:rFonts w:ascii="Times New Roman" w:hAnsi="Times New Roman" w:cs="Times New Roman"/>
          <w:sz w:val="24"/>
          <w:szCs w:val="24"/>
        </w:rPr>
        <w:t xml:space="preserve"> 886 </w:t>
      </w:r>
      <w:r w:rsidR="007C58D9" w:rsidRPr="00BF60F3">
        <w:rPr>
          <w:rFonts w:ascii="Times New Roman" w:hAnsi="Times New Roman" w:cs="Times New Roman"/>
          <w:sz w:val="24"/>
          <w:szCs w:val="24"/>
        </w:rPr>
        <w:t xml:space="preserve">students from the baseline group </w:t>
      </w:r>
      <w:r w:rsidR="00B07B3C" w:rsidRPr="00BF60F3">
        <w:rPr>
          <w:rFonts w:ascii="Times New Roman" w:hAnsi="Times New Roman" w:cs="Times New Roman"/>
          <w:sz w:val="24"/>
          <w:szCs w:val="24"/>
        </w:rPr>
        <w:t>completed SEQs</w:t>
      </w:r>
      <w:r w:rsidRPr="00BF60F3">
        <w:rPr>
          <w:rFonts w:ascii="Times New Roman" w:hAnsi="Times New Roman" w:cs="Times New Roman"/>
          <w:sz w:val="24"/>
          <w:szCs w:val="24"/>
        </w:rPr>
        <w:t xml:space="preserve"> – </w:t>
      </w:r>
      <w:r w:rsidR="007A4A06" w:rsidRPr="00BF60F3">
        <w:rPr>
          <w:rFonts w:ascii="Times New Roman" w:hAnsi="Times New Roman" w:cs="Times New Roman"/>
          <w:sz w:val="24"/>
          <w:szCs w:val="24"/>
        </w:rPr>
        <w:t xml:space="preserve">a response rate of </w:t>
      </w:r>
      <w:r w:rsidRPr="00BF60F3">
        <w:rPr>
          <w:rFonts w:ascii="Times New Roman" w:hAnsi="Times New Roman" w:cs="Times New Roman"/>
          <w:sz w:val="24"/>
          <w:szCs w:val="24"/>
        </w:rPr>
        <w:t xml:space="preserve">51%, </w:t>
      </w:r>
      <w:r w:rsidR="007A4A06" w:rsidRPr="00BF60F3">
        <w:rPr>
          <w:rFonts w:ascii="Times New Roman" w:hAnsi="Times New Roman" w:cs="Times New Roman"/>
          <w:sz w:val="24"/>
          <w:szCs w:val="24"/>
        </w:rPr>
        <w:t xml:space="preserve">which is only </w:t>
      </w:r>
      <w:r w:rsidRPr="00BF60F3">
        <w:rPr>
          <w:rFonts w:ascii="Times New Roman" w:hAnsi="Times New Roman" w:cs="Times New Roman"/>
          <w:sz w:val="24"/>
          <w:szCs w:val="24"/>
        </w:rPr>
        <w:t>slightly below</w:t>
      </w:r>
      <w:r w:rsidR="007A4A06" w:rsidRPr="00BF60F3">
        <w:rPr>
          <w:rFonts w:ascii="Times New Roman" w:hAnsi="Times New Roman" w:cs="Times New Roman"/>
          <w:sz w:val="24"/>
          <w:szCs w:val="24"/>
        </w:rPr>
        <w:t xml:space="preserve"> the</w:t>
      </w:r>
      <w:r w:rsidRPr="00BF60F3">
        <w:rPr>
          <w:rFonts w:ascii="Times New Roman" w:hAnsi="Times New Roman" w:cs="Times New Roman"/>
          <w:sz w:val="24"/>
          <w:szCs w:val="24"/>
        </w:rPr>
        <w:t xml:space="preserve"> university average</w:t>
      </w:r>
      <w:r w:rsidRPr="00BF60F3">
        <w:rPr>
          <w:rFonts w:ascii="Times New Roman" w:hAnsi="Times New Roman" w:cs="Times New Roman"/>
          <w:sz w:val="24"/>
        </w:rPr>
        <w:t>.</w:t>
      </w:r>
    </w:p>
    <w:p w:rsidR="00E36EE2" w:rsidRPr="00BF60F3" w:rsidRDefault="00E36EE2" w:rsidP="00B07B3C">
      <w:pPr>
        <w:spacing w:after="0" w:line="240" w:lineRule="auto"/>
        <w:rPr>
          <w:rFonts w:ascii="Times New Roman" w:hAnsi="Times New Roman" w:cs="Times New Roman"/>
          <w:sz w:val="24"/>
        </w:rPr>
      </w:pPr>
    </w:p>
    <w:p w:rsidR="007C58D9" w:rsidRPr="00BF60F3" w:rsidRDefault="007C58D9" w:rsidP="00B07B3C">
      <w:pPr>
        <w:spacing w:after="0" w:line="240" w:lineRule="auto"/>
        <w:rPr>
          <w:rFonts w:ascii="Times New Roman" w:hAnsi="Times New Roman" w:cs="Times New Roman"/>
          <w:sz w:val="24"/>
        </w:rPr>
      </w:pPr>
    </w:p>
    <w:p w:rsidR="00485404" w:rsidRPr="00BF60F3" w:rsidRDefault="006F5666" w:rsidP="00E36EE2">
      <w:pPr>
        <w:spacing w:after="0" w:line="240" w:lineRule="auto"/>
        <w:rPr>
          <w:rFonts w:ascii="Times New Roman" w:hAnsi="Times New Roman" w:cs="Times New Roman"/>
          <w:sz w:val="20"/>
        </w:rPr>
      </w:pPr>
      <w:r w:rsidRPr="00BF60F3">
        <w:rPr>
          <w:rFonts w:ascii="Times New Roman" w:hAnsi="Times New Roman" w:cs="Times New Roman"/>
          <w:sz w:val="20"/>
        </w:rPr>
        <w:lastRenderedPageBreak/>
        <w:t>Table 2</w:t>
      </w:r>
      <w:r w:rsidR="00485404" w:rsidRPr="00BF60F3">
        <w:rPr>
          <w:rFonts w:ascii="Times New Roman" w:hAnsi="Times New Roman" w:cs="Times New Roman"/>
          <w:sz w:val="20"/>
        </w:rPr>
        <w:t>, ‘Baseli</w:t>
      </w:r>
      <w:r w:rsidR="00D242ED" w:rsidRPr="00BF60F3">
        <w:rPr>
          <w:rFonts w:ascii="Times New Roman" w:hAnsi="Times New Roman" w:cs="Times New Roman"/>
          <w:sz w:val="20"/>
        </w:rPr>
        <w:t>ne’ courses with a failure rate</w:t>
      </w:r>
      <w:r w:rsidR="00485404" w:rsidRPr="00BF60F3">
        <w:rPr>
          <w:rFonts w:ascii="Times New Roman" w:hAnsi="Times New Roman" w:cs="Times New Roman"/>
          <w:sz w:val="20"/>
        </w:rPr>
        <w:t xml:space="preserve"> ≤25%</w:t>
      </w:r>
    </w:p>
    <w:tbl>
      <w:tblPr>
        <w:tblW w:w="7200" w:type="dxa"/>
        <w:tblInd w:w="108" w:type="dxa"/>
        <w:tblLayout w:type="fixed"/>
        <w:tblLook w:val="04A0" w:firstRow="1" w:lastRow="0" w:firstColumn="1" w:lastColumn="0" w:noHBand="0" w:noVBand="1"/>
      </w:tblPr>
      <w:tblGrid>
        <w:gridCol w:w="990"/>
        <w:gridCol w:w="990"/>
        <w:gridCol w:w="1260"/>
        <w:gridCol w:w="1170"/>
        <w:gridCol w:w="1260"/>
        <w:gridCol w:w="1530"/>
      </w:tblGrid>
      <w:tr w:rsidR="00BF60F3" w:rsidRPr="00BF60F3" w:rsidTr="00485404">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5404" w:rsidRPr="00BF60F3" w:rsidRDefault="00485404"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Course no.</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5404" w:rsidRPr="00BF60F3" w:rsidRDefault="00485404"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Year of study</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5404" w:rsidRPr="00BF60F3" w:rsidRDefault="00485404" w:rsidP="00E36EE2">
            <w:pPr>
              <w:tabs>
                <w:tab w:val="left" w:pos="702"/>
              </w:tabs>
              <w:spacing w:after="0" w:line="240" w:lineRule="auto"/>
              <w:ind w:left="-108"/>
              <w:rPr>
                <w:rFonts w:ascii="Times New Roman" w:hAnsi="Times New Roman" w:cs="Times New Roman"/>
                <w:b/>
                <w:sz w:val="20"/>
                <w:szCs w:val="20"/>
              </w:rPr>
            </w:pPr>
            <w:r w:rsidRPr="00BF60F3">
              <w:rPr>
                <w:rFonts w:ascii="Times New Roman" w:hAnsi="Times New Roman" w:cs="Times New Roman"/>
                <w:b/>
                <w:sz w:val="20"/>
                <w:szCs w:val="20"/>
              </w:rPr>
              <w:t>No. of students registered</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5404" w:rsidRPr="00BF60F3" w:rsidRDefault="00485404" w:rsidP="00E36EE2">
            <w:pPr>
              <w:spacing w:after="0" w:line="240" w:lineRule="auto"/>
              <w:ind w:left="-108" w:right="-108"/>
              <w:rPr>
                <w:rFonts w:ascii="Times New Roman" w:hAnsi="Times New Roman" w:cs="Times New Roman"/>
                <w:b/>
                <w:sz w:val="20"/>
                <w:szCs w:val="20"/>
              </w:rPr>
            </w:pPr>
            <w:r w:rsidRPr="00BF60F3">
              <w:rPr>
                <w:rFonts w:ascii="Times New Roman" w:hAnsi="Times New Roman" w:cs="Times New Roman"/>
                <w:b/>
                <w:sz w:val="20"/>
                <w:szCs w:val="20"/>
              </w:rPr>
              <w:t>Failure (%)</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5404" w:rsidRPr="00BF60F3" w:rsidRDefault="00485404" w:rsidP="00E36EE2">
            <w:pPr>
              <w:spacing w:after="0" w:line="240" w:lineRule="auto"/>
              <w:ind w:left="-108" w:right="-108"/>
              <w:rPr>
                <w:rFonts w:ascii="Times New Roman" w:hAnsi="Times New Roman" w:cs="Times New Roman"/>
                <w:b/>
                <w:sz w:val="20"/>
                <w:szCs w:val="20"/>
              </w:rPr>
            </w:pPr>
            <w:r w:rsidRPr="00BF60F3">
              <w:rPr>
                <w:rFonts w:ascii="Times New Roman" w:hAnsi="Times New Roman" w:cs="Times New Roman"/>
                <w:b/>
                <w:sz w:val="20"/>
                <w:szCs w:val="20"/>
              </w:rPr>
              <w:t>Actual No. of fails</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5404" w:rsidRPr="00BF60F3" w:rsidRDefault="00485404" w:rsidP="00E36EE2">
            <w:pPr>
              <w:spacing w:after="0" w:line="240" w:lineRule="auto"/>
              <w:ind w:left="-108" w:right="-108"/>
              <w:rPr>
                <w:rFonts w:ascii="Times New Roman" w:hAnsi="Times New Roman" w:cs="Times New Roman"/>
                <w:b/>
                <w:sz w:val="20"/>
                <w:szCs w:val="20"/>
              </w:rPr>
            </w:pPr>
            <w:r w:rsidRPr="00BF60F3">
              <w:rPr>
                <w:rFonts w:ascii="Times New Roman" w:hAnsi="Times New Roman" w:cs="Times New Roman"/>
                <w:b/>
                <w:sz w:val="20"/>
                <w:szCs w:val="20"/>
              </w:rPr>
              <w:t>No. of students who completed SEQ</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20</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44</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0</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24</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w:t>
            </w:r>
            <w:r w:rsidR="00235313" w:rsidRPr="00BF60F3">
              <w:rPr>
                <w:rFonts w:ascii="Times New Roman" w:hAnsi="Times New Roman" w:cs="Times New Roman"/>
                <w:b/>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38</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0</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0</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15</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22</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118</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32</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23</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95</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59</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24</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19</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11</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25</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101</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7</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51</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26</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40</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18</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27</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65</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34</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28</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82</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7</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38</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29</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51</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19</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30</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17</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6</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31</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377</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326</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307</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32</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114</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17</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30</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33</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58</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17</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10</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46</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34</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61</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20</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12</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38</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35</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22</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23</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13</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36</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164</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24</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39</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79</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37</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50</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24</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12</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w:t>
            </w:r>
          </w:p>
        </w:tc>
      </w:tr>
      <w:tr w:rsidR="00BF60F3" w:rsidRPr="00BF60F3" w:rsidTr="00485404">
        <w:tc>
          <w:tcPr>
            <w:tcW w:w="990" w:type="dxa"/>
            <w:tcBorders>
              <w:top w:val="single" w:sz="4" w:space="0" w:color="auto"/>
              <w:left w:val="single" w:sz="4" w:space="0" w:color="auto"/>
              <w:bottom w:val="single" w:sz="4" w:space="0" w:color="auto"/>
              <w:right w:val="single" w:sz="4" w:space="0" w:color="auto"/>
            </w:tcBorders>
          </w:tcPr>
          <w:p w:rsidR="006F5666" w:rsidRPr="00BF60F3" w:rsidRDefault="00235313" w:rsidP="00E36EE2">
            <w:pPr>
              <w:spacing w:after="0" w:line="240" w:lineRule="auto"/>
              <w:rPr>
                <w:rFonts w:ascii="Times New Roman" w:hAnsi="Times New Roman" w:cs="Times New Roman"/>
                <w:b/>
                <w:sz w:val="20"/>
                <w:szCs w:val="20"/>
              </w:rPr>
            </w:pPr>
            <w:r w:rsidRPr="00BF60F3">
              <w:rPr>
                <w:rFonts w:ascii="Times New Roman" w:hAnsi="Times New Roman" w:cs="Times New Roman"/>
                <w:b/>
                <w:sz w:val="20"/>
                <w:szCs w:val="20"/>
              </w:rPr>
              <w:t>38</w:t>
            </w:r>
          </w:p>
        </w:tc>
        <w:tc>
          <w:tcPr>
            <w:tcW w:w="99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219</w:t>
            </w:r>
          </w:p>
        </w:tc>
        <w:tc>
          <w:tcPr>
            <w:tcW w:w="1170" w:type="dxa"/>
            <w:tcBorders>
              <w:top w:val="single" w:sz="4" w:space="0" w:color="auto"/>
              <w:left w:val="single" w:sz="4" w:space="0" w:color="auto"/>
              <w:bottom w:val="single" w:sz="4" w:space="0" w:color="auto"/>
              <w:right w:val="single" w:sz="4" w:space="0" w:color="auto"/>
            </w:tcBorders>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25</w:t>
            </w:r>
          </w:p>
        </w:tc>
        <w:tc>
          <w:tcPr>
            <w:tcW w:w="126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54</w:t>
            </w:r>
          </w:p>
        </w:tc>
        <w:tc>
          <w:tcPr>
            <w:tcW w:w="1530" w:type="dxa"/>
            <w:tcBorders>
              <w:top w:val="single" w:sz="4" w:space="0" w:color="auto"/>
              <w:left w:val="single" w:sz="4" w:space="0" w:color="auto"/>
              <w:bottom w:val="single" w:sz="4" w:space="0" w:color="auto"/>
              <w:right w:val="single" w:sz="4" w:space="0" w:color="auto"/>
            </w:tcBorders>
            <w:hideMark/>
          </w:tcPr>
          <w:p w:rsidR="006F5666" w:rsidRPr="00BF60F3" w:rsidRDefault="006F5666" w:rsidP="00E36EE2">
            <w:pPr>
              <w:spacing w:after="0" w:line="240" w:lineRule="auto"/>
              <w:rPr>
                <w:rFonts w:ascii="Times New Roman" w:hAnsi="Times New Roman" w:cs="Times New Roman"/>
                <w:sz w:val="20"/>
                <w:szCs w:val="20"/>
              </w:rPr>
            </w:pPr>
            <w:r w:rsidRPr="00BF60F3">
              <w:rPr>
                <w:rFonts w:ascii="Times New Roman" w:hAnsi="Times New Roman" w:cs="Times New Roman"/>
                <w:sz w:val="20"/>
                <w:szCs w:val="20"/>
              </w:rPr>
              <w:t>61</w:t>
            </w:r>
          </w:p>
        </w:tc>
      </w:tr>
    </w:tbl>
    <w:p w:rsidR="00244DBC" w:rsidRPr="00BF60F3" w:rsidRDefault="00244DBC" w:rsidP="00E36EE2">
      <w:pPr>
        <w:spacing w:line="240" w:lineRule="auto"/>
        <w:rPr>
          <w:rFonts w:ascii="Times New Roman" w:hAnsi="Times New Roman" w:cs="Times New Roman"/>
          <w:sz w:val="24"/>
        </w:rPr>
      </w:pPr>
    </w:p>
    <w:p w:rsidR="00E36EE2" w:rsidRPr="00BF60F3" w:rsidRDefault="006F5666" w:rsidP="00E36EE2">
      <w:pPr>
        <w:spacing w:after="160" w:line="240" w:lineRule="auto"/>
        <w:rPr>
          <w:rFonts w:ascii="Arial" w:hAnsi="Arial" w:cs="Arial"/>
          <w:b/>
        </w:rPr>
      </w:pPr>
      <w:r w:rsidRPr="00BF60F3">
        <w:rPr>
          <w:rFonts w:ascii="Arial" w:hAnsi="Arial" w:cs="Arial"/>
          <w:b/>
        </w:rPr>
        <w:t>Data analysis</w:t>
      </w:r>
    </w:p>
    <w:p w:rsidR="006F5666" w:rsidRPr="00BF60F3" w:rsidRDefault="006F5666" w:rsidP="00E36EE2">
      <w:pPr>
        <w:spacing w:after="160" w:line="240" w:lineRule="auto"/>
        <w:rPr>
          <w:rFonts w:ascii="Arial" w:hAnsi="Arial" w:cs="Arial"/>
          <w:i/>
        </w:rPr>
      </w:pPr>
      <w:r w:rsidRPr="00BF60F3">
        <w:rPr>
          <w:rFonts w:ascii="Arial" w:hAnsi="Arial" w:cs="Arial"/>
          <w:i/>
        </w:rPr>
        <w:t>Establishing a baseline</w:t>
      </w:r>
    </w:p>
    <w:p w:rsidR="00244DBC" w:rsidRPr="00BF60F3" w:rsidRDefault="00244DBC" w:rsidP="002E6A1B">
      <w:pPr>
        <w:spacing w:after="0" w:line="240" w:lineRule="auto"/>
        <w:rPr>
          <w:rFonts w:ascii="Times New Roman" w:hAnsi="Times New Roman" w:cs="Times New Roman"/>
          <w:sz w:val="24"/>
        </w:rPr>
      </w:pPr>
      <w:r w:rsidRPr="00BF60F3">
        <w:rPr>
          <w:rFonts w:ascii="Times New Roman" w:hAnsi="Times New Roman" w:cs="Times New Roman"/>
          <w:sz w:val="24"/>
        </w:rPr>
        <w:t xml:space="preserve">The 19 ‘baseline’ courses were analysed using emergent content analysis to establish the areas where students felt courses could be improved. </w:t>
      </w:r>
      <w:proofErr w:type="gramStart"/>
      <w:r w:rsidRPr="00BF60F3">
        <w:rPr>
          <w:rFonts w:ascii="Times New Roman" w:hAnsi="Times New Roman" w:cs="Times New Roman"/>
          <w:sz w:val="24"/>
        </w:rPr>
        <w:t xml:space="preserve">Miles and </w:t>
      </w:r>
      <w:proofErr w:type="spellStart"/>
      <w:r w:rsidRPr="00BF60F3">
        <w:rPr>
          <w:rFonts w:ascii="Times New Roman" w:hAnsi="Times New Roman" w:cs="Times New Roman"/>
          <w:sz w:val="24"/>
        </w:rPr>
        <w:t>Huberman</w:t>
      </w:r>
      <w:proofErr w:type="spellEnd"/>
      <w:r w:rsidRPr="00BF60F3">
        <w:rPr>
          <w:rFonts w:ascii="Times New Roman" w:hAnsi="Times New Roman" w:cs="Times New Roman"/>
          <w:sz w:val="24"/>
        </w:rPr>
        <w:t xml:space="preserve"> (1994) note that qualitative respon</w:t>
      </w:r>
      <w:r w:rsidR="007A4A06" w:rsidRPr="00BF60F3">
        <w:rPr>
          <w:rFonts w:ascii="Times New Roman" w:hAnsi="Times New Roman" w:cs="Times New Roman"/>
          <w:sz w:val="24"/>
        </w:rPr>
        <w:t xml:space="preserve">ses </w:t>
      </w:r>
      <w:r w:rsidRPr="00BF60F3">
        <w:rPr>
          <w:rFonts w:ascii="Times New Roman" w:hAnsi="Times New Roman" w:cs="Times New Roman"/>
          <w:sz w:val="24"/>
        </w:rPr>
        <w:t>can result in an overload of data and advise that coding is a method for reducing the overload.</w:t>
      </w:r>
      <w:proofErr w:type="gramEnd"/>
      <w:r w:rsidRPr="00BF60F3">
        <w:rPr>
          <w:rFonts w:ascii="Times New Roman" w:hAnsi="Times New Roman" w:cs="Times New Roman"/>
          <w:sz w:val="24"/>
        </w:rPr>
        <w:t xml:space="preserve"> </w:t>
      </w:r>
      <w:proofErr w:type="spellStart"/>
      <w:r w:rsidRPr="00BF60F3">
        <w:rPr>
          <w:rFonts w:ascii="Times New Roman" w:hAnsi="Times New Roman" w:cs="Times New Roman"/>
          <w:sz w:val="24"/>
        </w:rPr>
        <w:t>Kerlinger</w:t>
      </w:r>
      <w:proofErr w:type="spellEnd"/>
      <w:r w:rsidRPr="00BF60F3">
        <w:rPr>
          <w:rFonts w:ascii="Times New Roman" w:hAnsi="Times New Roman" w:cs="Times New Roman"/>
          <w:sz w:val="24"/>
        </w:rPr>
        <w:t xml:space="preserve"> (1970) defines coding as the translation of responses into categories in order to produce analysis. This analysis adopted Miles and </w:t>
      </w:r>
      <w:proofErr w:type="spellStart"/>
      <w:r w:rsidRPr="00BF60F3">
        <w:rPr>
          <w:rFonts w:ascii="Times New Roman" w:hAnsi="Times New Roman" w:cs="Times New Roman"/>
          <w:sz w:val="24"/>
        </w:rPr>
        <w:t>Huberman’s</w:t>
      </w:r>
      <w:proofErr w:type="spellEnd"/>
      <w:r w:rsidRPr="00BF60F3">
        <w:rPr>
          <w:rFonts w:ascii="Times New Roman" w:hAnsi="Times New Roman" w:cs="Times New Roman"/>
          <w:sz w:val="24"/>
        </w:rPr>
        <w:t xml:space="preserve"> (1994) approach of analysing grounded theory data by means of three concurrent activities: data reduction; data display, and conclusion drawing and verification.</w:t>
      </w:r>
      <w:r w:rsidR="001675B8" w:rsidRPr="00BF60F3">
        <w:rPr>
          <w:rFonts w:ascii="Times New Roman" w:hAnsi="Times New Roman" w:cs="Times New Roman"/>
          <w:sz w:val="24"/>
        </w:rPr>
        <w:t xml:space="preserve"> This approach was adopted as it allowed for emergent coding that would permit the data to ‘speak’ and offer distinct student-generated codes (as opposed to template coding which might lead to the imposition of ideals from the researcher or from literature that might mistranslate the student voice).</w:t>
      </w:r>
      <w:r w:rsidRPr="00BF60F3">
        <w:rPr>
          <w:rFonts w:ascii="Times New Roman" w:hAnsi="Times New Roman" w:cs="Times New Roman"/>
          <w:sz w:val="24"/>
        </w:rPr>
        <w:t xml:space="preserve"> Data was reduced by means of highlighting frequencies of occurrences to note themes and patterns. Themes were categorised to make sense of the data</w:t>
      </w:r>
      <w:r w:rsidR="000E4F79" w:rsidRPr="00BF60F3">
        <w:rPr>
          <w:rFonts w:ascii="Times New Roman" w:hAnsi="Times New Roman" w:cs="Times New Roman"/>
          <w:sz w:val="24"/>
        </w:rPr>
        <w:t>;</w:t>
      </w:r>
      <w:r w:rsidRPr="00BF60F3">
        <w:rPr>
          <w:rFonts w:ascii="Times New Roman" w:hAnsi="Times New Roman" w:cs="Times New Roman"/>
          <w:sz w:val="24"/>
        </w:rPr>
        <w:t xml:space="preserve"> to provide the opportunity to explore any differences</w:t>
      </w:r>
      <w:r w:rsidR="000E4F79" w:rsidRPr="00BF60F3">
        <w:rPr>
          <w:rFonts w:ascii="Times New Roman" w:hAnsi="Times New Roman" w:cs="Times New Roman"/>
          <w:sz w:val="24"/>
        </w:rPr>
        <w:t>, and</w:t>
      </w:r>
      <w:r w:rsidRPr="00BF60F3">
        <w:rPr>
          <w:rFonts w:ascii="Times New Roman" w:hAnsi="Times New Roman" w:cs="Times New Roman"/>
          <w:sz w:val="24"/>
        </w:rPr>
        <w:t xml:space="preserve"> to establish variables. Adopting </w:t>
      </w:r>
      <w:r w:rsidR="000E4F79" w:rsidRPr="00BF60F3">
        <w:rPr>
          <w:rFonts w:ascii="Times New Roman" w:hAnsi="Times New Roman" w:cs="Times New Roman"/>
          <w:sz w:val="24"/>
        </w:rPr>
        <w:t xml:space="preserve">this </w:t>
      </w:r>
      <w:r w:rsidRPr="00BF60F3">
        <w:rPr>
          <w:rFonts w:ascii="Times New Roman" w:hAnsi="Times New Roman" w:cs="Times New Roman"/>
          <w:sz w:val="24"/>
        </w:rPr>
        <w:t xml:space="preserve">approach allowed the </w:t>
      </w:r>
      <w:r w:rsidR="000E4F79" w:rsidRPr="00BF60F3">
        <w:rPr>
          <w:rFonts w:ascii="Times New Roman" w:hAnsi="Times New Roman" w:cs="Times New Roman"/>
          <w:sz w:val="24"/>
        </w:rPr>
        <w:t>student voice</w:t>
      </w:r>
      <w:r w:rsidRPr="00BF60F3">
        <w:rPr>
          <w:rFonts w:ascii="Times New Roman" w:hAnsi="Times New Roman" w:cs="Times New Roman"/>
          <w:sz w:val="24"/>
        </w:rPr>
        <w:t xml:space="preserve"> to emerge</w:t>
      </w:r>
      <w:r w:rsidR="000E4F79" w:rsidRPr="00BF60F3">
        <w:rPr>
          <w:rFonts w:ascii="Times New Roman" w:hAnsi="Times New Roman" w:cs="Times New Roman"/>
          <w:sz w:val="24"/>
        </w:rPr>
        <w:t>.</w:t>
      </w:r>
      <w:r w:rsidRPr="00BF60F3">
        <w:rPr>
          <w:rFonts w:ascii="Times New Roman" w:hAnsi="Times New Roman" w:cs="Times New Roman"/>
          <w:sz w:val="24"/>
        </w:rPr>
        <w:t xml:space="preserve"> Not all students completed all the sections of the questionnaire. Some students wrote very little and some wrote quite a lot. In the end 368 sections of texts were coded. The key themes are show in Tabl</w:t>
      </w:r>
      <w:r w:rsidR="007A4A06" w:rsidRPr="00BF60F3">
        <w:rPr>
          <w:rFonts w:ascii="Times New Roman" w:hAnsi="Times New Roman" w:cs="Times New Roman"/>
          <w:sz w:val="24"/>
        </w:rPr>
        <w:t>e 3.</w:t>
      </w:r>
    </w:p>
    <w:p w:rsidR="007C58D9" w:rsidRPr="00BF60F3" w:rsidRDefault="007C58D9" w:rsidP="002E6A1B">
      <w:pPr>
        <w:spacing w:after="0" w:line="240" w:lineRule="auto"/>
        <w:rPr>
          <w:rFonts w:ascii="Times New Roman" w:hAnsi="Times New Roman" w:cs="Times New Roman"/>
          <w:sz w:val="24"/>
        </w:rPr>
      </w:pPr>
    </w:p>
    <w:p w:rsidR="007C58D9" w:rsidRPr="00BF60F3" w:rsidRDefault="007C58D9" w:rsidP="002E6A1B">
      <w:pPr>
        <w:spacing w:after="0" w:line="240" w:lineRule="auto"/>
        <w:rPr>
          <w:rFonts w:ascii="Times New Roman" w:hAnsi="Times New Roman" w:cs="Times New Roman"/>
          <w:sz w:val="24"/>
        </w:rPr>
      </w:pPr>
      <w:r w:rsidRPr="00BF60F3">
        <w:rPr>
          <w:rFonts w:ascii="Times New Roman" w:hAnsi="Times New Roman" w:cs="Times New Roman"/>
          <w:sz w:val="24"/>
        </w:rPr>
        <w:t xml:space="preserve">Only 51% of students who were enrolled in the selected ‘baseline’ courses completed the SEQ and less than half of these students responded to the question, ‘How do you think this course could be improved?’ Although the suggestion that there should be ‘More audio-visual resources’ was coded most often there is no real significant bias of number towards this suggestion as there is only a narrow spread of responses and the number of times this category was coded for is not particularly higher than the next four categories. Therefore, the difference between this field and </w:t>
      </w:r>
      <w:r w:rsidRPr="00BF60F3">
        <w:rPr>
          <w:rFonts w:ascii="Times New Roman" w:hAnsi="Times New Roman" w:cs="Times New Roman"/>
          <w:sz w:val="24"/>
        </w:rPr>
        <w:lastRenderedPageBreak/>
        <w:t>the subsequent fields appears to be minor with all the responses part of a common inclination. The call for more audio-visual resources might also be seen as part of a general trend in Higher Education towards the use of information communication technology and might also be grouped with the suggestion that more online resources be used. The second most coded category was ‘More interaction/practical work’ and another ‘resource’ based issue was the third most coded aspect of data, with students suggesting that more library books might help their studies. This suggestion was particularly popular with Year 3 students and might be seen as a prelude to final examination.</w:t>
      </w:r>
    </w:p>
    <w:p w:rsidR="00EB431F" w:rsidRPr="00BF60F3" w:rsidRDefault="00EB431F" w:rsidP="002E6A1B">
      <w:pPr>
        <w:spacing w:after="0" w:line="240" w:lineRule="auto"/>
        <w:rPr>
          <w:rFonts w:ascii="Times New Roman" w:hAnsi="Times New Roman" w:cs="Times New Roman"/>
          <w:sz w:val="24"/>
        </w:rPr>
      </w:pPr>
    </w:p>
    <w:p w:rsidR="00244DBC" w:rsidRPr="00BF60F3" w:rsidRDefault="00244DBC" w:rsidP="00E36EE2">
      <w:pPr>
        <w:spacing w:after="0" w:line="240" w:lineRule="auto"/>
        <w:rPr>
          <w:rFonts w:ascii="Times New Roman" w:hAnsi="Times New Roman" w:cs="Times New Roman"/>
          <w:sz w:val="20"/>
        </w:rPr>
      </w:pPr>
    </w:p>
    <w:p w:rsidR="00244DBC" w:rsidRPr="00BF60F3" w:rsidRDefault="00244DBC" w:rsidP="00E36EE2">
      <w:pPr>
        <w:spacing w:after="0" w:line="240" w:lineRule="auto"/>
        <w:rPr>
          <w:rFonts w:ascii="Times New Roman" w:hAnsi="Times New Roman" w:cs="Times New Roman"/>
          <w:sz w:val="20"/>
        </w:rPr>
      </w:pPr>
      <w:r w:rsidRPr="00BF60F3">
        <w:rPr>
          <w:rFonts w:ascii="Times New Roman" w:hAnsi="Times New Roman" w:cs="Times New Roman"/>
          <w:sz w:val="20"/>
        </w:rPr>
        <w:t>Table 3, How students report ‘baseline’ courses c</w:t>
      </w:r>
      <w:r w:rsidR="00D242ED" w:rsidRPr="00BF60F3">
        <w:rPr>
          <w:rFonts w:ascii="Times New Roman" w:hAnsi="Times New Roman" w:cs="Times New Roman"/>
          <w:sz w:val="20"/>
        </w:rPr>
        <w:t>ould</w:t>
      </w:r>
      <w:r w:rsidRPr="00BF60F3">
        <w:rPr>
          <w:rFonts w:ascii="Times New Roman" w:hAnsi="Times New Roman" w:cs="Times New Roman"/>
          <w:sz w:val="20"/>
        </w:rPr>
        <w:t xml:space="preserve"> be improved</w:t>
      </w:r>
    </w:p>
    <w:tbl>
      <w:tblPr>
        <w:tblpPr w:leftFromText="180" w:rightFromText="180" w:bottomFromText="200" w:vertAnchor="text" w:horzAnchor="margin" w:tblpX="108"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788"/>
        <w:gridCol w:w="788"/>
        <w:gridCol w:w="788"/>
        <w:gridCol w:w="672"/>
      </w:tblGrid>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44DBC" w:rsidRPr="00BF60F3" w:rsidRDefault="00244DBC" w:rsidP="00B07B3C">
            <w:pPr>
              <w:spacing w:after="0" w:line="240" w:lineRule="auto"/>
              <w:contextualSpacing/>
              <w:rPr>
                <w:rFonts w:ascii="Times New Roman" w:eastAsia="Times New Roman" w:hAnsi="Times New Roman" w:cs="Times New Roman"/>
                <w:sz w:val="20"/>
                <w:lang w:eastAsia="en-TT"/>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4DBC" w:rsidRPr="00BF60F3" w:rsidRDefault="00244DBC" w:rsidP="00B07B3C">
            <w:pPr>
              <w:spacing w:after="0" w:line="240" w:lineRule="auto"/>
              <w:contextualSpacing/>
              <w:rPr>
                <w:rFonts w:ascii="Times New Roman" w:eastAsia="Times New Roman" w:hAnsi="Times New Roman" w:cs="Times New Roman"/>
                <w:b/>
                <w:sz w:val="20"/>
                <w:lang w:eastAsia="en-TT"/>
              </w:rPr>
            </w:pPr>
            <w:r w:rsidRPr="00BF60F3">
              <w:rPr>
                <w:rFonts w:ascii="Times New Roman" w:eastAsia="Times New Roman" w:hAnsi="Times New Roman" w:cs="Times New Roman"/>
                <w:b/>
                <w:sz w:val="20"/>
                <w:lang w:eastAsia="en-TT"/>
              </w:rPr>
              <w:t>Year 1</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4DBC" w:rsidRPr="00BF60F3" w:rsidRDefault="00244DBC" w:rsidP="00B07B3C">
            <w:pPr>
              <w:spacing w:after="0" w:line="240" w:lineRule="auto"/>
              <w:contextualSpacing/>
              <w:rPr>
                <w:rFonts w:ascii="Times New Roman" w:eastAsia="Times New Roman" w:hAnsi="Times New Roman" w:cs="Times New Roman"/>
                <w:b/>
                <w:sz w:val="20"/>
                <w:lang w:eastAsia="en-TT"/>
              </w:rPr>
            </w:pPr>
            <w:r w:rsidRPr="00BF60F3">
              <w:rPr>
                <w:rFonts w:ascii="Times New Roman" w:eastAsia="Times New Roman" w:hAnsi="Times New Roman" w:cs="Times New Roman"/>
                <w:b/>
                <w:sz w:val="20"/>
                <w:lang w:eastAsia="en-TT"/>
              </w:rPr>
              <w:t>Year 2</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4DBC" w:rsidRPr="00BF60F3" w:rsidRDefault="00244DBC" w:rsidP="00B07B3C">
            <w:pPr>
              <w:spacing w:after="0" w:line="240" w:lineRule="auto"/>
              <w:contextualSpacing/>
              <w:rPr>
                <w:rFonts w:ascii="Times New Roman" w:eastAsia="Times New Roman" w:hAnsi="Times New Roman" w:cs="Times New Roman"/>
                <w:b/>
                <w:sz w:val="20"/>
                <w:lang w:eastAsia="en-TT"/>
              </w:rPr>
            </w:pPr>
            <w:r w:rsidRPr="00BF60F3">
              <w:rPr>
                <w:rFonts w:ascii="Times New Roman" w:eastAsia="Times New Roman" w:hAnsi="Times New Roman" w:cs="Times New Roman"/>
                <w:b/>
                <w:sz w:val="20"/>
                <w:lang w:eastAsia="en-TT"/>
              </w:rPr>
              <w:t>Year 3</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44DBC" w:rsidRPr="00BF60F3" w:rsidRDefault="00244DBC" w:rsidP="00B07B3C">
            <w:pPr>
              <w:tabs>
                <w:tab w:val="center" w:pos="350"/>
              </w:tabs>
              <w:spacing w:after="0" w:line="240" w:lineRule="auto"/>
              <w:contextualSpacing/>
              <w:rPr>
                <w:rFonts w:ascii="Times New Roman" w:eastAsia="Times New Roman" w:hAnsi="Times New Roman" w:cs="Times New Roman"/>
                <w:b/>
                <w:sz w:val="20"/>
                <w:lang w:eastAsia="en-TT"/>
              </w:rPr>
            </w:pPr>
            <w:r w:rsidRPr="00BF60F3">
              <w:rPr>
                <w:rFonts w:ascii="Times New Roman" w:eastAsia="Times New Roman" w:hAnsi="Times New Roman" w:cs="Times New Roman"/>
                <w:b/>
                <w:sz w:val="20"/>
                <w:lang w:eastAsia="en-TT"/>
              </w:rPr>
              <w:t>Total</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More audio-visual resources</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40</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More interaction/practical work</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noProof/>
                <w:sz w:val="20"/>
                <w:szCs w:val="20"/>
                <w:lang w:eastAsia="en-TT"/>
              </w:rPr>
              <w:drawing>
                <wp:inline distT="0" distB="0" distL="0" distR="0" wp14:anchorId="6E7FC06B" wp14:editId="3605B18C">
                  <wp:extent cx="123825" cy="123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37</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More books in library</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noProof/>
                <w:sz w:val="20"/>
                <w:szCs w:val="20"/>
                <w:lang w:eastAsia="en-TT"/>
              </w:rPr>
              <w:drawing>
                <wp:inline distT="0" distB="0" distL="0" distR="0" wp14:anchorId="5DA31D97" wp14:editId="55B309FD">
                  <wp:extent cx="123825" cy="123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34</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Less teaching</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33</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subject-specific content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eastAsia="MS Mincho"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32</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No change needed</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30</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More/better resources (online)</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29</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Better assessment methods and procedures</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25</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Less group work</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22</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support for exams</w:t>
            </w: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noProof/>
                <w:sz w:val="20"/>
                <w:szCs w:val="20"/>
                <w:lang w:eastAsia="en-TT"/>
              </w:rPr>
              <w:drawing>
                <wp:inline distT="0" distB="0" distL="0" distR="0" wp14:anchorId="150ADC53" wp14:editId="5CB30822">
                  <wp:extent cx="123825" cy="123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19</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tutorials</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15</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Consider time of class</w:t>
            </w: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14</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Less content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eastAsia="MS Mincho"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13</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Make objectives clearer</w:t>
            </w: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11</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Better environment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8</w:t>
            </w:r>
          </w:p>
        </w:tc>
      </w:tr>
      <w:tr w:rsidR="00BF60F3" w:rsidRPr="00BF60F3" w:rsidTr="00B07B3C">
        <w:trPr>
          <w:trHeight w:hRule="exact" w:val="288"/>
        </w:trPr>
        <w:tc>
          <w:tcPr>
            <w:tcW w:w="5816" w:type="dxa"/>
            <w:tcBorders>
              <w:top w:val="single" w:sz="4" w:space="0" w:color="auto"/>
              <w:left w:val="single" w:sz="4" w:space="0" w:color="auto"/>
              <w:bottom w:val="single" w:sz="4" w:space="0" w:color="auto"/>
              <w:right w:val="single" w:sz="4" w:space="0" w:color="auto"/>
            </w:tcBorders>
            <w:noWrap/>
            <w:vAlign w:val="center"/>
            <w:hideMark/>
          </w:tcPr>
          <w:p w:rsidR="00244DBC" w:rsidRPr="00BF60F3" w:rsidRDefault="00244DBC" w:rsidP="00B07B3C">
            <w:pPr>
              <w:spacing w:after="0" w:line="240" w:lineRule="auto"/>
              <w:contextualSpacing/>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Link to real world</w:t>
            </w: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rsidR="00244DBC" w:rsidRPr="00BF60F3" w:rsidRDefault="00244DBC" w:rsidP="00B07B3C">
            <w:pPr>
              <w:spacing w:after="0" w:line="240" w:lineRule="auto"/>
              <w:contextualSpacing/>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44DBC" w:rsidRPr="00BF60F3" w:rsidRDefault="00244DBC" w:rsidP="00B07B3C">
            <w:pPr>
              <w:spacing w:after="0" w:line="240" w:lineRule="auto"/>
              <w:contextualSpacing/>
              <w:rPr>
                <w:rFonts w:ascii="Times New Roman" w:hAnsi="Times New Roman" w:cs="Times New Roman"/>
                <w:sz w:val="20"/>
                <w:szCs w:val="20"/>
              </w:rPr>
            </w:pPr>
            <w:r w:rsidRPr="00BF60F3">
              <w:rPr>
                <w:rFonts w:ascii="Times New Roman" w:hAnsi="Times New Roman" w:cs="Times New Roman"/>
                <w:sz w:val="20"/>
                <w:szCs w:val="20"/>
              </w:rPr>
              <w:t>6</w:t>
            </w:r>
          </w:p>
        </w:tc>
      </w:tr>
      <w:tr w:rsidR="00BF60F3" w:rsidRPr="00BF60F3" w:rsidTr="000E4F79">
        <w:trPr>
          <w:trHeight w:val="566"/>
        </w:trPr>
        <w:tc>
          <w:tcPr>
            <w:tcW w:w="8852" w:type="dxa"/>
            <w:gridSpan w:val="5"/>
            <w:tcBorders>
              <w:top w:val="single" w:sz="4" w:space="0" w:color="auto"/>
              <w:left w:val="nil"/>
              <w:bottom w:val="nil"/>
              <w:right w:val="nil"/>
            </w:tcBorders>
            <w:noWrap/>
            <w:vAlign w:val="center"/>
          </w:tcPr>
          <w:p w:rsidR="00EB431F" w:rsidRPr="00BF60F3" w:rsidRDefault="00EB431F" w:rsidP="00EB431F">
            <w:pPr>
              <w:spacing w:after="0" w:line="240" w:lineRule="auto"/>
              <w:contextualSpacing/>
              <w:rPr>
                <w:rFonts w:ascii="Times New Roman" w:hAnsi="Times New Roman" w:cs="Times New Roman"/>
                <w:i/>
                <w:sz w:val="18"/>
                <w:szCs w:val="20"/>
              </w:rPr>
            </w:pPr>
            <w:r w:rsidRPr="00BF60F3">
              <w:rPr>
                <w:rFonts w:ascii="MS Gothic" w:eastAsia="MS Gothic" w:hAnsi="MS Gothic" w:cs="MS Gothic" w:hint="eastAsia"/>
                <w:sz w:val="18"/>
                <w:szCs w:val="20"/>
              </w:rPr>
              <w:t>✓</w:t>
            </w:r>
            <w:r w:rsidRPr="00BF60F3">
              <w:rPr>
                <w:rFonts w:ascii="Times New Roman" w:hAnsi="Times New Roman" w:cs="Times New Roman"/>
                <w:sz w:val="18"/>
                <w:szCs w:val="20"/>
              </w:rPr>
              <w:t xml:space="preserve"> </w:t>
            </w:r>
            <w:r w:rsidRPr="00BF60F3">
              <w:rPr>
                <w:rFonts w:ascii="Times New Roman" w:hAnsi="Times New Roman" w:cs="Times New Roman"/>
                <w:i/>
                <w:sz w:val="18"/>
                <w:szCs w:val="20"/>
              </w:rPr>
              <w:t xml:space="preserve"> -  this field was highlighted as significant </w:t>
            </w:r>
          </w:p>
          <w:p w:rsidR="000E4F79" w:rsidRPr="00BF60F3" w:rsidRDefault="00EB431F" w:rsidP="00EB431F">
            <w:pPr>
              <w:spacing w:after="0" w:line="240" w:lineRule="auto"/>
              <w:contextualSpacing/>
              <w:rPr>
                <w:rFonts w:ascii="Times New Roman" w:hAnsi="Times New Roman" w:cs="Times New Roman"/>
                <w:i/>
                <w:sz w:val="4"/>
                <w:szCs w:val="20"/>
              </w:rPr>
            </w:pPr>
            <w:r w:rsidRPr="00BF60F3">
              <w:rPr>
                <w:rFonts w:ascii="Times New Roman" w:hAnsi="Times New Roman" w:cs="Times New Roman"/>
                <w:i/>
                <w:noProof/>
                <w:sz w:val="18"/>
                <w:szCs w:val="20"/>
                <w:lang w:eastAsia="en-TT"/>
              </w:rPr>
              <w:drawing>
                <wp:inline distT="0" distB="0" distL="0" distR="0" wp14:anchorId="2123ABEB" wp14:editId="70870F04">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60F3">
              <w:rPr>
                <w:rFonts w:ascii="Times New Roman" w:hAnsi="Times New Roman" w:cs="Times New Roman"/>
                <w:i/>
                <w:sz w:val="18"/>
              </w:rPr>
              <w:t xml:space="preserve">  -  this field was highlighted as being especially important to this year group</w:t>
            </w:r>
            <w:r w:rsidRPr="00BF60F3">
              <w:rPr>
                <w:rFonts w:ascii="Times New Roman" w:hAnsi="Times New Roman" w:cs="Times New Roman"/>
                <w:i/>
                <w:sz w:val="4"/>
                <w:szCs w:val="20"/>
              </w:rPr>
              <w:t xml:space="preserve"> </w:t>
            </w:r>
          </w:p>
        </w:tc>
      </w:tr>
    </w:tbl>
    <w:p w:rsidR="00EB431F" w:rsidRPr="00BF60F3" w:rsidRDefault="00EB431F" w:rsidP="006A60ED">
      <w:pPr>
        <w:spacing w:after="240" w:line="240" w:lineRule="auto"/>
        <w:rPr>
          <w:rFonts w:ascii="Times New Roman" w:hAnsi="Times New Roman" w:cs="Times New Roman"/>
          <w:sz w:val="24"/>
        </w:rPr>
      </w:pPr>
    </w:p>
    <w:p w:rsidR="006F5666" w:rsidRPr="00BF60F3" w:rsidRDefault="006F5666" w:rsidP="006A60ED">
      <w:pPr>
        <w:spacing w:after="240" w:line="240" w:lineRule="auto"/>
        <w:rPr>
          <w:rFonts w:ascii="Times New Roman" w:hAnsi="Times New Roman" w:cs="Times New Roman"/>
          <w:sz w:val="24"/>
        </w:rPr>
      </w:pPr>
      <w:r w:rsidRPr="00BF60F3">
        <w:rPr>
          <w:rFonts w:ascii="Times New Roman" w:hAnsi="Times New Roman" w:cs="Times New Roman"/>
          <w:sz w:val="24"/>
        </w:rPr>
        <w:t xml:space="preserve">Of some interest is the call for less teaching yet more interaction. These two suggestions seem at odds but there is no reason to suggest that </w:t>
      </w:r>
      <w:r w:rsidR="00BF6F5B" w:rsidRPr="00BF60F3">
        <w:rPr>
          <w:rFonts w:ascii="Times New Roman" w:hAnsi="Times New Roman" w:cs="Times New Roman"/>
          <w:sz w:val="24"/>
        </w:rPr>
        <w:t xml:space="preserve">the </w:t>
      </w:r>
      <w:r w:rsidRPr="00BF60F3">
        <w:rPr>
          <w:rFonts w:ascii="Times New Roman" w:hAnsi="Times New Roman" w:cs="Times New Roman"/>
          <w:sz w:val="24"/>
        </w:rPr>
        <w:t>student body would have a coherent vision in this regard. Notwithstanding this view, it might well be that students are discerning enough to determine that didactic methods that are teacher-centred work less for them than more learner-centred methods. Other suggestions tend towards particular improvements and specific needs.</w:t>
      </w:r>
      <w:r w:rsidR="002E6A1B" w:rsidRPr="00BF60F3">
        <w:rPr>
          <w:rFonts w:ascii="Times New Roman" w:hAnsi="Times New Roman" w:cs="Times New Roman"/>
          <w:sz w:val="24"/>
        </w:rPr>
        <w:t xml:space="preserve"> </w:t>
      </w:r>
      <w:r w:rsidRPr="00BF60F3">
        <w:rPr>
          <w:rFonts w:ascii="Times New Roman" w:hAnsi="Times New Roman" w:cs="Times New Roman"/>
          <w:sz w:val="24"/>
        </w:rPr>
        <w:t xml:space="preserve">Overall the baseline data suggests that the students in these courses have few suggestions to make regarding course improvement; that there is no evidence to suggest that the teaching needs to be improved, but that students tended to identify specific areas for improvement. </w:t>
      </w:r>
      <w:r w:rsidR="00A504FF" w:rsidRPr="00BF60F3">
        <w:rPr>
          <w:rFonts w:ascii="Times New Roman" w:hAnsi="Times New Roman" w:cs="Times New Roman"/>
          <w:sz w:val="24"/>
        </w:rPr>
        <w:t>This is evidenced through</w:t>
      </w:r>
      <w:r w:rsidR="0083295A" w:rsidRPr="00BF60F3">
        <w:rPr>
          <w:rFonts w:ascii="Times New Roman" w:hAnsi="Times New Roman" w:cs="Times New Roman"/>
          <w:sz w:val="24"/>
        </w:rPr>
        <w:t xml:space="preserve"> </w:t>
      </w:r>
      <w:r w:rsidR="00A504FF" w:rsidRPr="00BF60F3">
        <w:rPr>
          <w:rFonts w:ascii="Times New Roman" w:hAnsi="Times New Roman" w:cs="Times New Roman"/>
          <w:sz w:val="24"/>
        </w:rPr>
        <w:t xml:space="preserve">an overview of the 16 fields where </w:t>
      </w:r>
      <w:r w:rsidR="0083295A" w:rsidRPr="00BF60F3">
        <w:rPr>
          <w:rFonts w:ascii="Times New Roman" w:hAnsi="Times New Roman" w:cs="Times New Roman"/>
          <w:sz w:val="24"/>
        </w:rPr>
        <w:t xml:space="preserve">there is a balance of </w:t>
      </w:r>
      <w:r w:rsidR="00A504FF" w:rsidRPr="00BF60F3">
        <w:rPr>
          <w:rFonts w:ascii="Times New Roman" w:hAnsi="Times New Roman" w:cs="Times New Roman"/>
          <w:sz w:val="24"/>
        </w:rPr>
        <w:t>responses from students showing that their focu</w:t>
      </w:r>
      <w:r w:rsidR="0083295A" w:rsidRPr="00BF60F3">
        <w:rPr>
          <w:rFonts w:ascii="Times New Roman" w:hAnsi="Times New Roman" w:cs="Times New Roman"/>
          <w:sz w:val="24"/>
        </w:rPr>
        <w:t xml:space="preserve">s </w:t>
      </w:r>
      <w:r w:rsidR="00A504FF" w:rsidRPr="00BF60F3">
        <w:rPr>
          <w:rFonts w:ascii="Times New Roman" w:hAnsi="Times New Roman" w:cs="Times New Roman"/>
          <w:sz w:val="24"/>
        </w:rPr>
        <w:t xml:space="preserve">is spread between teaching-related </w:t>
      </w:r>
      <w:r w:rsidR="0083295A" w:rsidRPr="00BF60F3">
        <w:rPr>
          <w:rFonts w:ascii="Times New Roman" w:hAnsi="Times New Roman" w:cs="Times New Roman"/>
          <w:sz w:val="24"/>
        </w:rPr>
        <w:t>improvement</w:t>
      </w:r>
      <w:r w:rsidR="00A504FF" w:rsidRPr="00BF60F3">
        <w:rPr>
          <w:rFonts w:ascii="Times New Roman" w:hAnsi="Times New Roman" w:cs="Times New Roman"/>
          <w:sz w:val="24"/>
        </w:rPr>
        <w:t xml:space="preserve"> and resource-related </w:t>
      </w:r>
      <w:r w:rsidR="0083295A" w:rsidRPr="00BF60F3">
        <w:rPr>
          <w:rFonts w:ascii="Times New Roman" w:hAnsi="Times New Roman" w:cs="Times New Roman"/>
          <w:sz w:val="24"/>
        </w:rPr>
        <w:t>improvement – with a sizable group suggesting that no change is needed.</w:t>
      </w:r>
      <w:r w:rsidR="00A504FF" w:rsidRPr="00BF60F3">
        <w:rPr>
          <w:rFonts w:ascii="Times New Roman" w:hAnsi="Times New Roman" w:cs="Times New Roman"/>
          <w:sz w:val="24"/>
        </w:rPr>
        <w:t xml:space="preserve"> </w:t>
      </w:r>
      <w:r w:rsidR="0083295A" w:rsidRPr="00BF60F3">
        <w:rPr>
          <w:rFonts w:ascii="Times New Roman" w:hAnsi="Times New Roman" w:cs="Times New Roman"/>
          <w:sz w:val="24"/>
        </w:rPr>
        <w:t xml:space="preserve">This balance of responses </w:t>
      </w:r>
      <w:r w:rsidRPr="00BF60F3">
        <w:rPr>
          <w:rFonts w:ascii="Times New Roman" w:hAnsi="Times New Roman" w:cs="Times New Roman"/>
          <w:sz w:val="24"/>
        </w:rPr>
        <w:t xml:space="preserve">would suggest that </w:t>
      </w:r>
      <w:r w:rsidR="0083295A" w:rsidRPr="00BF60F3">
        <w:rPr>
          <w:rFonts w:ascii="Times New Roman" w:hAnsi="Times New Roman" w:cs="Times New Roman"/>
          <w:sz w:val="24"/>
        </w:rPr>
        <w:t>students</w:t>
      </w:r>
      <w:r w:rsidRPr="00BF60F3">
        <w:rPr>
          <w:rFonts w:ascii="Times New Roman" w:hAnsi="Times New Roman" w:cs="Times New Roman"/>
          <w:sz w:val="24"/>
        </w:rPr>
        <w:t xml:space="preserve"> are looking to ‘tighten’ rather than fundamentally overhaul courses.  </w:t>
      </w:r>
    </w:p>
    <w:p w:rsidR="009063AA" w:rsidRPr="00BF60F3" w:rsidRDefault="009063AA" w:rsidP="00E36EE2">
      <w:pPr>
        <w:spacing w:after="160" w:line="240" w:lineRule="auto"/>
        <w:rPr>
          <w:rFonts w:ascii="Arial" w:hAnsi="Arial" w:cs="Arial"/>
          <w:i/>
        </w:rPr>
      </w:pPr>
      <w:r w:rsidRPr="00BF60F3">
        <w:rPr>
          <w:rFonts w:ascii="Arial" w:hAnsi="Arial" w:cs="Arial"/>
          <w:i/>
        </w:rPr>
        <w:lastRenderedPageBreak/>
        <w:t>Courses with high failure rates</w:t>
      </w:r>
    </w:p>
    <w:p w:rsidR="002E6A1B" w:rsidRPr="00BF60F3" w:rsidRDefault="00244DBC" w:rsidP="00E36EE2">
      <w:pPr>
        <w:spacing w:after="0" w:line="240" w:lineRule="auto"/>
      </w:pPr>
      <w:r w:rsidRPr="00BF60F3">
        <w:rPr>
          <w:rFonts w:ascii="Times New Roman" w:hAnsi="Times New Roman" w:cs="Times New Roman"/>
          <w:sz w:val="24"/>
        </w:rPr>
        <w:t>The SEQs from the courses with high failure rates were scrutinised using the same form of emergent content analysis as that applied to the baseline courses</w:t>
      </w:r>
      <w:r w:rsidR="002E6A1B" w:rsidRPr="00BF60F3">
        <w:rPr>
          <w:rFonts w:ascii="Times New Roman" w:hAnsi="Times New Roman" w:cs="Times New Roman"/>
          <w:sz w:val="24"/>
        </w:rPr>
        <w:t xml:space="preserve">. This led to </w:t>
      </w:r>
      <w:r w:rsidR="007A4A06" w:rsidRPr="00BF60F3">
        <w:rPr>
          <w:rFonts w:ascii="Times New Roman" w:hAnsi="Times New Roman" w:cs="Times New Roman"/>
          <w:sz w:val="24"/>
        </w:rPr>
        <w:t xml:space="preserve">449 sections of texts </w:t>
      </w:r>
      <w:r w:rsidR="002E6A1B" w:rsidRPr="00BF60F3">
        <w:rPr>
          <w:rFonts w:ascii="Times New Roman" w:hAnsi="Times New Roman" w:cs="Times New Roman"/>
          <w:sz w:val="24"/>
        </w:rPr>
        <w:t>being coded as shown in Table 4.</w:t>
      </w:r>
      <w:r w:rsidR="0083295A" w:rsidRPr="00BF60F3">
        <w:t xml:space="preserve"> </w:t>
      </w:r>
    </w:p>
    <w:p w:rsidR="00EB431F" w:rsidRPr="00BF60F3" w:rsidRDefault="00EB431F" w:rsidP="00E36EE2">
      <w:pPr>
        <w:spacing w:after="0" w:line="240" w:lineRule="auto"/>
      </w:pPr>
    </w:p>
    <w:p w:rsidR="00EB431F" w:rsidRPr="00BF60F3" w:rsidRDefault="00EB431F" w:rsidP="00E36EE2">
      <w:pPr>
        <w:spacing w:after="0" w:line="240" w:lineRule="auto"/>
        <w:rPr>
          <w:rFonts w:ascii="Times New Roman" w:hAnsi="Times New Roman" w:cs="Times New Roman"/>
          <w:sz w:val="24"/>
        </w:rPr>
      </w:pPr>
    </w:p>
    <w:tbl>
      <w:tblPr>
        <w:tblpPr w:leftFromText="180" w:rightFromText="180" w:bottomFromText="200" w:vertAnchor="text" w:horzAnchor="margin" w:tblpX="144" w:tblpY="241"/>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810"/>
        <w:gridCol w:w="810"/>
        <w:gridCol w:w="773"/>
        <w:gridCol w:w="667"/>
      </w:tblGrid>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6A1B" w:rsidRPr="00BF60F3" w:rsidRDefault="002E6A1B" w:rsidP="002E6A1B">
            <w:pPr>
              <w:spacing w:after="0" w:line="240" w:lineRule="auto"/>
              <w:jc w:val="center"/>
              <w:rPr>
                <w:rFonts w:ascii="Times New Roman" w:eastAsia="Times New Roman" w:hAnsi="Times New Roman" w:cs="Times New Roman"/>
                <w:b/>
                <w:sz w:val="20"/>
                <w:szCs w:val="20"/>
                <w:lang w:eastAsia="en-TT"/>
              </w:rPr>
            </w:pPr>
            <w:r w:rsidRPr="00BF60F3">
              <w:rPr>
                <w:rFonts w:ascii="Times New Roman" w:eastAsia="Times New Roman" w:hAnsi="Times New Roman" w:cs="Times New Roman"/>
                <w:b/>
                <w:sz w:val="20"/>
                <w:szCs w:val="20"/>
                <w:lang w:eastAsia="en-TT"/>
              </w:rPr>
              <w:t>Year 1</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6A1B" w:rsidRPr="00BF60F3" w:rsidRDefault="002E6A1B" w:rsidP="002E6A1B">
            <w:pPr>
              <w:spacing w:after="0" w:line="240" w:lineRule="auto"/>
              <w:jc w:val="center"/>
              <w:rPr>
                <w:rFonts w:ascii="Times New Roman" w:eastAsia="Times New Roman" w:hAnsi="Times New Roman" w:cs="Times New Roman"/>
                <w:b/>
                <w:sz w:val="20"/>
                <w:szCs w:val="20"/>
                <w:lang w:eastAsia="en-TT"/>
              </w:rPr>
            </w:pPr>
            <w:r w:rsidRPr="00BF60F3">
              <w:rPr>
                <w:rFonts w:ascii="Times New Roman" w:eastAsia="Times New Roman" w:hAnsi="Times New Roman" w:cs="Times New Roman"/>
                <w:b/>
                <w:sz w:val="20"/>
                <w:szCs w:val="20"/>
                <w:lang w:eastAsia="en-TT"/>
              </w:rPr>
              <w:t>Year 2</w:t>
            </w:r>
          </w:p>
        </w:tc>
        <w:tc>
          <w:tcPr>
            <w:tcW w:w="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6A1B" w:rsidRPr="00BF60F3" w:rsidRDefault="002E6A1B" w:rsidP="002E6A1B">
            <w:pPr>
              <w:spacing w:after="0" w:line="240" w:lineRule="auto"/>
              <w:ind w:hanging="18"/>
              <w:jc w:val="center"/>
              <w:rPr>
                <w:rFonts w:ascii="Times New Roman" w:eastAsia="Times New Roman" w:hAnsi="Times New Roman" w:cs="Times New Roman"/>
                <w:b/>
                <w:sz w:val="20"/>
                <w:szCs w:val="20"/>
                <w:lang w:eastAsia="en-TT"/>
              </w:rPr>
            </w:pPr>
            <w:r w:rsidRPr="00BF60F3">
              <w:rPr>
                <w:rFonts w:ascii="Times New Roman" w:eastAsia="Times New Roman" w:hAnsi="Times New Roman" w:cs="Times New Roman"/>
                <w:b/>
                <w:sz w:val="20"/>
                <w:szCs w:val="20"/>
                <w:lang w:eastAsia="en-TT"/>
              </w:rPr>
              <w:t>Year 3</w:t>
            </w:r>
          </w:p>
        </w:tc>
        <w:tc>
          <w:tcPr>
            <w:tcW w:w="6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E6A1B" w:rsidRPr="00BF60F3" w:rsidRDefault="002E6A1B" w:rsidP="002E6A1B">
            <w:pPr>
              <w:spacing w:after="0" w:line="240" w:lineRule="auto"/>
              <w:ind w:hanging="71"/>
              <w:jc w:val="center"/>
              <w:rPr>
                <w:rFonts w:ascii="Times New Roman" w:eastAsia="Times New Roman" w:hAnsi="Times New Roman" w:cs="Times New Roman"/>
                <w:b/>
                <w:sz w:val="20"/>
                <w:szCs w:val="20"/>
                <w:lang w:eastAsia="en-TT"/>
              </w:rPr>
            </w:pPr>
            <w:r w:rsidRPr="00BF60F3">
              <w:rPr>
                <w:rFonts w:ascii="Times New Roman" w:eastAsia="Times New Roman" w:hAnsi="Times New Roman" w:cs="Times New Roman"/>
                <w:b/>
                <w:sz w:val="20"/>
                <w:szCs w:val="20"/>
                <w:lang w:eastAsia="en-TT"/>
              </w:rPr>
              <w:t>Total</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tutorials</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83</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Clearer/better presentation of information</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60</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interaction/practical work</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39</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Better teaching</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36</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Less content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MS Mincho" w:hAnsi="Times New Roman" w:cs="Times New Roman"/>
                <w:sz w:val="20"/>
                <w:szCs w:val="20"/>
              </w:rPr>
            </w:pPr>
            <w:r w:rsidRPr="00BF60F3">
              <w:rPr>
                <w:rFonts w:ascii="Times New Roman" w:hAnsi="Times New Roman" w:cs="Times New Roman"/>
                <w:noProof/>
                <w:sz w:val="20"/>
                <w:szCs w:val="20"/>
                <w:lang w:eastAsia="en-TT"/>
              </w:rPr>
              <w:drawing>
                <wp:inline distT="0" distB="0" distL="0" distR="0" wp14:anchorId="4059D5F1" wp14:editId="51716547">
                  <wp:extent cx="123825" cy="123825"/>
                  <wp:effectExtent l="0" t="0" r="9525" b="9525"/>
                  <wp:docPr id="1" name="Picture 1"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726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34</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Better assessment methods and procedures</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30</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Better structure</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28</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More/better resources (online)</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Times New Roman" w:hAnsi="Times New Roman" w:cs="Times New Roman"/>
                <w:noProof/>
                <w:sz w:val="20"/>
                <w:szCs w:val="20"/>
                <w:lang w:eastAsia="en-TT"/>
              </w:rPr>
              <w:drawing>
                <wp:inline distT="0" distB="0" distL="0" distR="0" wp14:anchorId="4B5E19ED" wp14:editId="741587D7">
                  <wp:extent cx="123825" cy="123825"/>
                  <wp:effectExtent l="0" t="0" r="9525" b="9525"/>
                  <wp:docPr id="2" name="Picture 2"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726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28</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More/better resources (hard copy)</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25</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teaching</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Times New Roman" w:hAnsi="Times New Roman" w:cs="Times New Roman"/>
                <w:noProof/>
                <w:sz w:val="20"/>
                <w:szCs w:val="20"/>
                <w:lang w:eastAsia="en-TT"/>
              </w:rPr>
              <w:drawing>
                <wp:inline distT="0" distB="0" distL="0" distR="0" wp14:anchorId="557699DA" wp14:editId="41F93469">
                  <wp:extent cx="123825" cy="123825"/>
                  <wp:effectExtent l="0" t="0" r="9525" b="9525"/>
                  <wp:docPr id="3" name="Picture 3"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726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21</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Don’t assume that students understand</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17</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support for exams</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13</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audio-visual resources</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9</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Consider time of class</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7</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Make objectives clearer</w:t>
            </w: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6</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Better support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4</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subject-specific content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3</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Link to real world</w:t>
            </w: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3</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Better environment</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1</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Increase entry qualifications</w:t>
            </w:r>
          </w:p>
        </w:tc>
        <w:tc>
          <w:tcPr>
            <w:tcW w:w="810"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1</w:t>
            </w:r>
          </w:p>
        </w:tc>
      </w:tr>
      <w:tr w:rsidR="00BF60F3" w:rsidRPr="00BF60F3" w:rsidTr="002E6A1B">
        <w:trPr>
          <w:trHeight w:val="288"/>
        </w:trPr>
        <w:tc>
          <w:tcPr>
            <w:tcW w:w="5778" w:type="dxa"/>
            <w:tcBorders>
              <w:top w:val="single" w:sz="4" w:space="0" w:color="auto"/>
              <w:left w:val="single" w:sz="4" w:space="0" w:color="auto"/>
              <w:bottom w:val="single" w:sz="4" w:space="0" w:color="auto"/>
              <w:right w:val="single" w:sz="4" w:space="0" w:color="auto"/>
            </w:tcBorders>
            <w:noWrap/>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More focus on fundamentals</w:t>
            </w: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2E6A1B" w:rsidRPr="00BF60F3" w:rsidRDefault="002E6A1B" w:rsidP="002E6A1B">
            <w:pPr>
              <w:spacing w:after="0" w:line="240" w:lineRule="auto"/>
              <w:rPr>
                <w:rFonts w:ascii="Times New Roman" w:hAnsi="Times New Roman" w:cs="Times New Roman"/>
                <w:sz w:val="20"/>
                <w:szCs w:val="20"/>
              </w:rPr>
            </w:pPr>
          </w:p>
        </w:tc>
        <w:tc>
          <w:tcPr>
            <w:tcW w:w="773"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hAnsi="Times New Roman" w:cs="Times New Roman"/>
                <w:sz w:val="20"/>
                <w:szCs w:val="20"/>
              </w:rPr>
            </w:pPr>
            <w:r w:rsidRPr="00BF60F3">
              <w:rPr>
                <w:rFonts w:ascii="MS Mincho" w:eastAsia="MS Mincho" w:hAnsi="MS Mincho" w:cs="MS Mincho" w:hint="eastAsia"/>
                <w:sz w:val="20"/>
                <w:szCs w:val="20"/>
                <w:lang w:val="en-US"/>
              </w:rPr>
              <w:t>✓</w:t>
            </w:r>
          </w:p>
        </w:tc>
        <w:tc>
          <w:tcPr>
            <w:tcW w:w="667" w:type="dxa"/>
            <w:tcBorders>
              <w:top w:val="single" w:sz="4" w:space="0" w:color="auto"/>
              <w:left w:val="single" w:sz="4" w:space="0" w:color="auto"/>
              <w:bottom w:val="single" w:sz="4" w:space="0" w:color="auto"/>
              <w:right w:val="single" w:sz="4" w:space="0" w:color="auto"/>
            </w:tcBorders>
            <w:vAlign w:val="center"/>
            <w:hideMark/>
          </w:tcPr>
          <w:p w:rsidR="002E6A1B" w:rsidRPr="00BF60F3" w:rsidRDefault="002E6A1B" w:rsidP="002E6A1B">
            <w:pPr>
              <w:spacing w:after="0" w:line="240" w:lineRule="auto"/>
              <w:rPr>
                <w:rFonts w:ascii="Times New Roman" w:eastAsia="Times New Roman" w:hAnsi="Times New Roman" w:cs="Times New Roman"/>
                <w:sz w:val="20"/>
                <w:szCs w:val="20"/>
                <w:lang w:eastAsia="en-TT"/>
              </w:rPr>
            </w:pPr>
            <w:r w:rsidRPr="00BF60F3">
              <w:rPr>
                <w:rFonts w:ascii="Times New Roman" w:eastAsia="Times New Roman" w:hAnsi="Times New Roman" w:cs="Times New Roman"/>
                <w:sz w:val="20"/>
                <w:szCs w:val="20"/>
                <w:lang w:eastAsia="en-TT"/>
              </w:rPr>
              <w:t>1</w:t>
            </w:r>
          </w:p>
        </w:tc>
      </w:tr>
      <w:tr w:rsidR="00BF60F3" w:rsidRPr="00BF60F3" w:rsidTr="000E4F79">
        <w:trPr>
          <w:trHeight w:val="586"/>
        </w:trPr>
        <w:tc>
          <w:tcPr>
            <w:tcW w:w="8838" w:type="dxa"/>
            <w:gridSpan w:val="5"/>
            <w:tcBorders>
              <w:top w:val="single" w:sz="4" w:space="0" w:color="auto"/>
              <w:left w:val="nil"/>
              <w:bottom w:val="nil"/>
              <w:right w:val="nil"/>
            </w:tcBorders>
            <w:noWrap/>
            <w:vAlign w:val="center"/>
          </w:tcPr>
          <w:p w:rsidR="000E4F79" w:rsidRPr="00BF60F3" w:rsidRDefault="000E4F79" w:rsidP="000E4F79">
            <w:pPr>
              <w:spacing w:after="0" w:line="240" w:lineRule="auto"/>
              <w:contextualSpacing/>
              <w:rPr>
                <w:rFonts w:ascii="Times New Roman" w:hAnsi="Times New Roman" w:cs="Times New Roman"/>
                <w:i/>
                <w:sz w:val="18"/>
                <w:szCs w:val="20"/>
              </w:rPr>
            </w:pPr>
            <w:r w:rsidRPr="00BF60F3">
              <w:rPr>
                <w:rFonts w:ascii="MS Gothic" w:eastAsia="MS Gothic" w:hAnsi="MS Gothic" w:cs="MS Gothic" w:hint="eastAsia"/>
                <w:sz w:val="18"/>
                <w:szCs w:val="20"/>
              </w:rPr>
              <w:t>✓</w:t>
            </w:r>
            <w:r w:rsidRPr="00BF60F3">
              <w:rPr>
                <w:rFonts w:ascii="Times New Roman" w:hAnsi="Times New Roman" w:cs="Times New Roman"/>
                <w:sz w:val="18"/>
                <w:szCs w:val="20"/>
              </w:rPr>
              <w:t xml:space="preserve"> </w:t>
            </w:r>
            <w:r w:rsidRPr="00BF60F3">
              <w:rPr>
                <w:rFonts w:ascii="Times New Roman" w:hAnsi="Times New Roman" w:cs="Times New Roman"/>
                <w:i/>
                <w:sz w:val="18"/>
                <w:szCs w:val="20"/>
              </w:rPr>
              <w:t xml:space="preserve"> -  this field was highlighted as significant </w:t>
            </w:r>
          </w:p>
          <w:p w:rsidR="000E4F79" w:rsidRPr="00BF60F3" w:rsidRDefault="000E4F79" w:rsidP="000E4F79">
            <w:pPr>
              <w:spacing w:after="0" w:line="240" w:lineRule="auto"/>
              <w:rPr>
                <w:rFonts w:ascii="Times New Roman" w:eastAsia="Times New Roman" w:hAnsi="Times New Roman" w:cs="Times New Roman"/>
                <w:sz w:val="20"/>
                <w:szCs w:val="20"/>
                <w:lang w:eastAsia="en-TT"/>
              </w:rPr>
            </w:pPr>
            <w:r w:rsidRPr="00BF60F3">
              <w:rPr>
                <w:rFonts w:ascii="Times New Roman" w:hAnsi="Times New Roman" w:cs="Times New Roman"/>
                <w:i/>
                <w:noProof/>
                <w:sz w:val="18"/>
                <w:szCs w:val="20"/>
                <w:lang w:eastAsia="en-TT"/>
              </w:rPr>
              <w:drawing>
                <wp:inline distT="0" distB="0" distL="0" distR="0" wp14:anchorId="6DE5B998" wp14:editId="210DF588">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60F3">
              <w:rPr>
                <w:rFonts w:ascii="Times New Roman" w:hAnsi="Times New Roman" w:cs="Times New Roman"/>
                <w:i/>
                <w:sz w:val="18"/>
              </w:rPr>
              <w:t xml:space="preserve">  -  this field was highlighted as being especially important to this year group</w:t>
            </w:r>
          </w:p>
        </w:tc>
      </w:tr>
    </w:tbl>
    <w:p w:rsidR="00E36EE2" w:rsidRPr="00BF60F3" w:rsidRDefault="002E6A1B" w:rsidP="00E36EE2">
      <w:pPr>
        <w:spacing w:after="0" w:line="240" w:lineRule="auto"/>
        <w:rPr>
          <w:rFonts w:ascii="Times New Roman" w:hAnsi="Times New Roman" w:cs="Times New Roman"/>
          <w:sz w:val="20"/>
        </w:rPr>
      </w:pPr>
      <w:r w:rsidRPr="00BF60F3">
        <w:rPr>
          <w:rFonts w:ascii="Times New Roman" w:hAnsi="Times New Roman" w:cs="Times New Roman"/>
          <w:sz w:val="20"/>
        </w:rPr>
        <w:t xml:space="preserve"> Table 4, How students report courses with high failure rates could be improved</w:t>
      </w:r>
    </w:p>
    <w:p w:rsidR="002E5A7F" w:rsidRPr="00BF60F3" w:rsidRDefault="002E5A7F" w:rsidP="00E36EE2">
      <w:pPr>
        <w:spacing w:after="160" w:line="240" w:lineRule="auto"/>
        <w:rPr>
          <w:rFonts w:ascii="Arial" w:hAnsi="Arial" w:cs="Arial"/>
          <w:b/>
        </w:rPr>
      </w:pPr>
    </w:p>
    <w:p w:rsidR="002E5A7F" w:rsidRPr="00BF60F3" w:rsidRDefault="002E5A7F" w:rsidP="002E5A7F">
      <w:pPr>
        <w:spacing w:after="240" w:line="240" w:lineRule="auto"/>
        <w:rPr>
          <w:rFonts w:ascii="Times New Roman" w:hAnsi="Times New Roman" w:cs="Times New Roman"/>
          <w:sz w:val="24"/>
        </w:rPr>
      </w:pPr>
      <w:r w:rsidRPr="00BF60F3">
        <w:rPr>
          <w:rFonts w:ascii="Times New Roman" w:hAnsi="Times New Roman" w:cs="Times New Roman"/>
          <w:sz w:val="24"/>
        </w:rPr>
        <w:t xml:space="preserve">Only 44% of students who were enrolled in the selected courses completed the SEQ suggesting that 56% of students were not present at the end of the course. It is normal for student attendance to drop </w:t>
      </w:r>
      <w:proofErr w:type="gramStart"/>
      <w:r w:rsidRPr="00BF60F3">
        <w:rPr>
          <w:rFonts w:ascii="Times New Roman" w:hAnsi="Times New Roman" w:cs="Times New Roman"/>
          <w:sz w:val="24"/>
        </w:rPr>
        <w:t>as a course progresses</w:t>
      </w:r>
      <w:proofErr w:type="gramEnd"/>
      <w:r w:rsidRPr="00BF60F3">
        <w:rPr>
          <w:rFonts w:ascii="Times New Roman" w:hAnsi="Times New Roman" w:cs="Times New Roman"/>
          <w:sz w:val="24"/>
        </w:rPr>
        <w:t xml:space="preserve">; however such a low attendance rate seems to suggest that many students voted with their feet and simply decided not to attend. Less than half of </w:t>
      </w:r>
      <w:r w:rsidR="00BF6F5B" w:rsidRPr="00BF60F3">
        <w:rPr>
          <w:rFonts w:ascii="Times New Roman" w:hAnsi="Times New Roman" w:cs="Times New Roman"/>
          <w:sz w:val="24"/>
        </w:rPr>
        <w:t xml:space="preserve">the </w:t>
      </w:r>
      <w:r w:rsidRPr="00BF60F3">
        <w:rPr>
          <w:rFonts w:ascii="Times New Roman" w:hAnsi="Times New Roman" w:cs="Times New Roman"/>
          <w:sz w:val="24"/>
        </w:rPr>
        <w:t xml:space="preserve">students completing the questionnaire responded to the question, ‘How do you think this course could be improved?’ which suggests that most did not feel that a response was needed or that they declined to answer. Although fewer students in the ‘high failure’ group completed the SEQ, a higher proportion offered suggestions for improvement. Two categories showed significantly higher coding rates than the baseline group and these, together with the subsequent two categories, offer a picture of a student body that feels it has been poorly informed; poorly taught, and that better tutorials would offer an opportunity to resolve this. Overall the data in Table 4 </w:t>
      </w:r>
      <w:r w:rsidRPr="00BF60F3">
        <w:rPr>
          <w:rFonts w:ascii="Times New Roman" w:hAnsi="Times New Roman" w:cs="Times New Roman"/>
          <w:sz w:val="24"/>
        </w:rPr>
        <w:lastRenderedPageBreak/>
        <w:t>shows an inclination towards improvements in the communication of course information through tutorials, better teaching, and more interaction.</w:t>
      </w:r>
    </w:p>
    <w:p w:rsidR="000647A5" w:rsidRPr="00BF60F3" w:rsidRDefault="00030039" w:rsidP="00E36EE2">
      <w:pPr>
        <w:spacing w:after="160" w:line="240" w:lineRule="auto"/>
        <w:rPr>
          <w:rFonts w:ascii="Arial" w:hAnsi="Arial" w:cs="Arial"/>
          <w:b/>
        </w:rPr>
      </w:pPr>
      <w:r w:rsidRPr="00BF60F3">
        <w:rPr>
          <w:rFonts w:ascii="Arial" w:hAnsi="Arial" w:cs="Arial"/>
          <w:b/>
        </w:rPr>
        <w:t xml:space="preserve">Findings and </w:t>
      </w:r>
      <w:r w:rsidR="000E4F79" w:rsidRPr="00BF60F3">
        <w:rPr>
          <w:rFonts w:ascii="Arial" w:hAnsi="Arial" w:cs="Arial"/>
          <w:b/>
        </w:rPr>
        <w:t>implications for practice</w:t>
      </w:r>
    </w:p>
    <w:p w:rsidR="000647A5" w:rsidRPr="00BF60F3" w:rsidRDefault="000647A5" w:rsidP="006A60ED">
      <w:pPr>
        <w:spacing w:after="240" w:line="240" w:lineRule="auto"/>
        <w:rPr>
          <w:rFonts w:ascii="Times New Roman" w:hAnsi="Times New Roman" w:cs="Times New Roman"/>
          <w:sz w:val="24"/>
        </w:rPr>
      </w:pPr>
      <w:r w:rsidRPr="00BF60F3">
        <w:rPr>
          <w:rFonts w:ascii="Times New Roman" w:hAnsi="Times New Roman" w:cs="Times New Roman"/>
          <w:sz w:val="24"/>
        </w:rPr>
        <w:t>The low number of students completing the SEQ questionnaire is an indication that students seemed less likely to attend certain classes and it was these classes t</w:t>
      </w:r>
      <w:r w:rsidR="0083295A" w:rsidRPr="00BF60F3">
        <w:rPr>
          <w:rFonts w:ascii="Times New Roman" w:hAnsi="Times New Roman" w:cs="Times New Roman"/>
          <w:sz w:val="24"/>
        </w:rPr>
        <w:t xml:space="preserve">hat had the higher failure rate. </w:t>
      </w:r>
      <w:r w:rsidRPr="00BF60F3">
        <w:rPr>
          <w:rFonts w:ascii="Times New Roman" w:hAnsi="Times New Roman" w:cs="Times New Roman"/>
          <w:sz w:val="24"/>
        </w:rPr>
        <w:t xml:space="preserve">This either means that students did not learn as they did not attend or that the learning in the course was not adequate – either way the courses can address this by examining what it is that turns students off of them. </w:t>
      </w:r>
    </w:p>
    <w:p w:rsidR="000647A5" w:rsidRPr="00BF60F3" w:rsidRDefault="000647A5" w:rsidP="006A60ED">
      <w:pPr>
        <w:spacing w:after="240" w:line="240" w:lineRule="auto"/>
        <w:rPr>
          <w:rFonts w:ascii="Times New Roman" w:hAnsi="Times New Roman" w:cs="Times New Roman"/>
          <w:sz w:val="24"/>
        </w:rPr>
      </w:pPr>
      <w:r w:rsidRPr="00BF60F3">
        <w:rPr>
          <w:rFonts w:ascii="Times New Roman" w:hAnsi="Times New Roman" w:cs="Times New Roman"/>
          <w:sz w:val="24"/>
        </w:rPr>
        <w:t xml:space="preserve">Students were more likely to offer suggestions for improvement in the courses that had high failure rates (56% of students who completed the SEQ in courses with very high failure rates had suggestions for improvement against 21% of the baseline group). This means that students are perceptive and can clearly see where there is room for improvement. This is particularly important when we consider that a large number of students were absent when the SEQ was completed and, if this number contains students who had stopped attending as they were disaffected, then the actual number of suggestions for improvement could be significantly higher. It is suggested that the student voice be recognised and that the suggestions put forward for improvement are addressed at course level and made known to the relevant students. None of the suggestions made by the students is outlandish and many other courses </w:t>
      </w:r>
      <w:r w:rsidR="00235313" w:rsidRPr="00BF60F3">
        <w:rPr>
          <w:rFonts w:ascii="Times New Roman" w:hAnsi="Times New Roman" w:cs="Times New Roman"/>
          <w:sz w:val="24"/>
        </w:rPr>
        <w:t xml:space="preserve">may </w:t>
      </w:r>
      <w:r w:rsidRPr="00BF60F3">
        <w:rPr>
          <w:rFonts w:ascii="Times New Roman" w:hAnsi="Times New Roman" w:cs="Times New Roman"/>
          <w:sz w:val="24"/>
        </w:rPr>
        <w:t>already have strengths in these areas</w:t>
      </w:r>
    </w:p>
    <w:p w:rsidR="000647A5" w:rsidRPr="00BF60F3" w:rsidRDefault="000647A5" w:rsidP="006A60ED">
      <w:pPr>
        <w:spacing w:after="240" w:line="240" w:lineRule="auto"/>
        <w:rPr>
          <w:rFonts w:ascii="Times New Roman" w:hAnsi="Times New Roman" w:cs="Times New Roman"/>
          <w:sz w:val="24"/>
        </w:rPr>
      </w:pPr>
      <w:r w:rsidRPr="00BF60F3">
        <w:rPr>
          <w:rFonts w:ascii="Times New Roman" w:hAnsi="Times New Roman" w:cs="Times New Roman"/>
          <w:sz w:val="24"/>
        </w:rPr>
        <w:t xml:space="preserve">The following recommendations are drawn specifically from the 19 courses </w:t>
      </w:r>
      <w:r w:rsidR="0083295A" w:rsidRPr="00BF60F3">
        <w:rPr>
          <w:rFonts w:ascii="Times New Roman" w:hAnsi="Times New Roman" w:cs="Times New Roman"/>
          <w:sz w:val="24"/>
        </w:rPr>
        <w:t>with high failure rates</w:t>
      </w:r>
      <w:r w:rsidRPr="00BF60F3">
        <w:rPr>
          <w:rFonts w:ascii="Times New Roman" w:hAnsi="Times New Roman" w:cs="Times New Roman"/>
          <w:sz w:val="24"/>
        </w:rPr>
        <w:t xml:space="preserve"> but may be </w:t>
      </w:r>
      <w:proofErr w:type="spellStart"/>
      <w:r w:rsidRPr="00BF60F3">
        <w:rPr>
          <w:rFonts w:ascii="Times New Roman" w:hAnsi="Times New Roman" w:cs="Times New Roman"/>
          <w:sz w:val="24"/>
        </w:rPr>
        <w:t>generalisable</w:t>
      </w:r>
      <w:proofErr w:type="spellEnd"/>
      <w:r w:rsidRPr="00BF60F3">
        <w:rPr>
          <w:rFonts w:ascii="Times New Roman" w:hAnsi="Times New Roman" w:cs="Times New Roman"/>
          <w:sz w:val="24"/>
        </w:rPr>
        <w:t xml:space="preserve"> to other courses where course co-ordinators seek to increase student success rates. It is hoped that courses with high failure rates address these issues as a matter of priority but other courses use them as part of their continuous course improvement strategy:</w:t>
      </w:r>
    </w:p>
    <w:p w:rsidR="000647A5" w:rsidRPr="00BF60F3" w:rsidRDefault="000647A5" w:rsidP="00E36EE2">
      <w:pPr>
        <w:pStyle w:val="ListParagraph"/>
        <w:numPr>
          <w:ilvl w:val="0"/>
          <w:numId w:val="15"/>
        </w:numPr>
        <w:spacing w:after="160" w:line="240" w:lineRule="auto"/>
        <w:ind w:left="360"/>
        <w:contextualSpacing w:val="0"/>
        <w:rPr>
          <w:rFonts w:ascii="Arial" w:hAnsi="Arial" w:cs="Arial"/>
          <w:i/>
        </w:rPr>
      </w:pPr>
      <w:r w:rsidRPr="00BF60F3">
        <w:rPr>
          <w:rFonts w:ascii="Arial" w:hAnsi="Arial" w:cs="Arial"/>
          <w:i/>
        </w:rPr>
        <w:t xml:space="preserve">Course co-ordinators/lecturers should consider what it is about </w:t>
      </w:r>
      <w:proofErr w:type="gramStart"/>
      <w:r w:rsidRPr="00BF60F3">
        <w:rPr>
          <w:rFonts w:ascii="Arial" w:hAnsi="Arial" w:cs="Arial"/>
          <w:i/>
        </w:rPr>
        <w:t>tutorials that makes</w:t>
      </w:r>
      <w:proofErr w:type="gramEnd"/>
      <w:r w:rsidRPr="00BF60F3">
        <w:rPr>
          <w:rFonts w:ascii="Arial" w:hAnsi="Arial" w:cs="Arial"/>
          <w:i/>
        </w:rPr>
        <w:t xml:space="preserve"> them a preferred learning experience.</w:t>
      </w:r>
    </w:p>
    <w:p w:rsidR="00030039" w:rsidRPr="00BF60F3" w:rsidRDefault="000647A5" w:rsidP="00E36EE2">
      <w:pPr>
        <w:pStyle w:val="ListParagraph"/>
        <w:spacing w:line="240" w:lineRule="auto"/>
        <w:ind w:left="360"/>
        <w:rPr>
          <w:rFonts w:ascii="Times New Roman" w:hAnsi="Times New Roman" w:cs="Times New Roman"/>
          <w:sz w:val="24"/>
        </w:rPr>
      </w:pPr>
      <w:r w:rsidRPr="00BF60F3">
        <w:rPr>
          <w:rFonts w:ascii="Times New Roman" w:hAnsi="Times New Roman" w:cs="Times New Roman"/>
          <w:sz w:val="24"/>
        </w:rPr>
        <w:t>Learning at university is often split in three: lecture, tutorial and independent study. Of these, the tutorial offers most scope for interaction through student inquiry. Tutorials offer students a chance to access the underpinning knowledge that is essential to a course. In calling for more tutorials, students are not calling for ‘more of the same’ and it cannot be expected that their mere presence in a tutorial resolves any perceived issues since ‘[p]</w:t>
      </w:r>
      <w:proofErr w:type="spellStart"/>
      <w:r w:rsidRPr="00BF60F3">
        <w:rPr>
          <w:rFonts w:ascii="Times New Roman" w:hAnsi="Times New Roman" w:cs="Times New Roman"/>
          <w:sz w:val="24"/>
        </w:rPr>
        <w:t>hysical</w:t>
      </w:r>
      <w:proofErr w:type="spellEnd"/>
      <w:r w:rsidRPr="00BF60F3">
        <w:rPr>
          <w:rFonts w:ascii="Times New Roman" w:hAnsi="Times New Roman" w:cs="Times New Roman"/>
          <w:sz w:val="24"/>
        </w:rPr>
        <w:t xml:space="preserve"> presence and intellectual involvement are quite different phenomenon’ (Rodgers, 2002: 265); therefore practitioners might do well to examine current tutorial practice and work out just what it is that students want more of. Here it is suggested that students want good teaching.</w:t>
      </w:r>
    </w:p>
    <w:p w:rsidR="00E36EE2" w:rsidRPr="00BF60F3" w:rsidRDefault="00E36EE2" w:rsidP="00E36EE2">
      <w:pPr>
        <w:pStyle w:val="ListParagraph"/>
        <w:spacing w:line="240" w:lineRule="auto"/>
        <w:ind w:left="360"/>
        <w:rPr>
          <w:rFonts w:ascii="Times New Roman" w:hAnsi="Times New Roman" w:cs="Times New Roman"/>
          <w:sz w:val="24"/>
        </w:rPr>
      </w:pPr>
    </w:p>
    <w:p w:rsidR="000647A5" w:rsidRPr="00BF60F3" w:rsidRDefault="000647A5" w:rsidP="00E36EE2">
      <w:pPr>
        <w:pStyle w:val="ListParagraph"/>
        <w:numPr>
          <w:ilvl w:val="0"/>
          <w:numId w:val="15"/>
        </w:numPr>
        <w:spacing w:after="160" w:line="240" w:lineRule="auto"/>
        <w:ind w:left="360"/>
        <w:contextualSpacing w:val="0"/>
        <w:rPr>
          <w:rFonts w:ascii="Arial" w:hAnsi="Arial" w:cs="Arial"/>
          <w:i/>
        </w:rPr>
      </w:pPr>
      <w:r w:rsidRPr="00BF60F3">
        <w:rPr>
          <w:rFonts w:ascii="Arial" w:hAnsi="Arial" w:cs="Arial"/>
          <w:i/>
        </w:rPr>
        <w:t>Lecturers consider how they interact with, engage and support their students.</w:t>
      </w:r>
    </w:p>
    <w:p w:rsidR="000647A5" w:rsidRPr="00BF60F3" w:rsidRDefault="000647A5" w:rsidP="00E36EE2">
      <w:pPr>
        <w:pStyle w:val="ListParagraph"/>
        <w:spacing w:after="0" w:line="240" w:lineRule="auto"/>
        <w:ind w:left="360"/>
        <w:rPr>
          <w:rFonts w:ascii="Times New Roman" w:hAnsi="Times New Roman" w:cs="Times New Roman"/>
          <w:sz w:val="24"/>
        </w:rPr>
      </w:pPr>
      <w:r w:rsidRPr="00BF60F3">
        <w:rPr>
          <w:rFonts w:ascii="Times New Roman" w:hAnsi="Times New Roman" w:cs="Times New Roman"/>
          <w:sz w:val="24"/>
        </w:rPr>
        <w:t xml:space="preserve">The university has moved beyond the simple either/or perspectives on teaching and research. University education involves a blend of teaching methods supported by relevant research and job roles are designed to support this. This perspective is outlined in HR contracts and </w:t>
      </w:r>
      <w:r w:rsidR="00C7754A" w:rsidRPr="00BF60F3">
        <w:rPr>
          <w:rFonts w:ascii="Times New Roman" w:hAnsi="Times New Roman" w:cs="Times New Roman"/>
          <w:sz w:val="24"/>
        </w:rPr>
        <w:t>often in universities’</w:t>
      </w:r>
      <w:r w:rsidRPr="00BF60F3">
        <w:rPr>
          <w:rFonts w:ascii="Times New Roman" w:hAnsi="Times New Roman" w:cs="Times New Roman"/>
          <w:sz w:val="24"/>
        </w:rPr>
        <w:t xml:space="preserve"> mission statement</w:t>
      </w:r>
      <w:r w:rsidR="00C7754A" w:rsidRPr="00BF60F3">
        <w:rPr>
          <w:rFonts w:ascii="Times New Roman" w:hAnsi="Times New Roman" w:cs="Times New Roman"/>
          <w:sz w:val="24"/>
        </w:rPr>
        <w:t>s</w:t>
      </w:r>
      <w:r w:rsidRPr="00BF60F3">
        <w:rPr>
          <w:rFonts w:ascii="Times New Roman" w:hAnsi="Times New Roman" w:cs="Times New Roman"/>
          <w:sz w:val="24"/>
        </w:rPr>
        <w:t xml:space="preserve"> where the role of teaching is clearly </w:t>
      </w:r>
      <w:r w:rsidR="00C7754A" w:rsidRPr="00BF60F3">
        <w:rPr>
          <w:rFonts w:ascii="Times New Roman" w:hAnsi="Times New Roman" w:cs="Times New Roman"/>
          <w:sz w:val="24"/>
        </w:rPr>
        <w:t>given significance. If student learning o</w:t>
      </w:r>
      <w:r w:rsidRPr="00BF60F3">
        <w:rPr>
          <w:rFonts w:ascii="Times New Roman" w:hAnsi="Times New Roman" w:cs="Times New Roman"/>
          <w:sz w:val="24"/>
        </w:rPr>
        <w:t xml:space="preserve">utcomes are to be achieved then academic </w:t>
      </w:r>
      <w:proofErr w:type="gramStart"/>
      <w:r w:rsidRPr="00BF60F3">
        <w:rPr>
          <w:rFonts w:ascii="Times New Roman" w:hAnsi="Times New Roman" w:cs="Times New Roman"/>
          <w:sz w:val="24"/>
        </w:rPr>
        <w:t>staff need</w:t>
      </w:r>
      <w:proofErr w:type="gramEnd"/>
      <w:r w:rsidRPr="00BF60F3">
        <w:rPr>
          <w:rFonts w:ascii="Times New Roman" w:hAnsi="Times New Roman" w:cs="Times New Roman"/>
          <w:sz w:val="24"/>
        </w:rPr>
        <w:t xml:space="preserve"> to embrace a student-centred perspective.</w:t>
      </w:r>
      <w:r w:rsidR="00C7754A" w:rsidRPr="00BF60F3">
        <w:rPr>
          <w:rFonts w:ascii="Times New Roman" w:hAnsi="Times New Roman" w:cs="Times New Roman"/>
          <w:sz w:val="24"/>
        </w:rPr>
        <w:t xml:space="preserve"> Here it is suggested that universities place</w:t>
      </w:r>
      <w:r w:rsidRPr="00BF60F3">
        <w:rPr>
          <w:rFonts w:ascii="Times New Roman" w:hAnsi="Times New Roman" w:cs="Times New Roman"/>
          <w:sz w:val="24"/>
        </w:rPr>
        <w:t xml:space="preserve"> greater </w:t>
      </w:r>
      <w:r w:rsidRPr="00BF60F3">
        <w:rPr>
          <w:rFonts w:ascii="Times New Roman" w:hAnsi="Times New Roman" w:cs="Times New Roman"/>
          <w:sz w:val="24"/>
        </w:rPr>
        <w:lastRenderedPageBreak/>
        <w:t>emphasis on the quality of teaching such that all staff know its value in relation to the learning experience. It is recommended that an audit of all academic staff be undertaken in order to find out their training needs in relation to becoming student-centred facilitators of learning.</w:t>
      </w:r>
    </w:p>
    <w:p w:rsidR="000647A5" w:rsidRPr="00BF60F3" w:rsidRDefault="000647A5" w:rsidP="00E36EE2">
      <w:pPr>
        <w:spacing w:after="0" w:line="240" w:lineRule="auto"/>
        <w:ind w:left="360" w:hanging="360"/>
        <w:rPr>
          <w:rFonts w:ascii="Times New Roman" w:hAnsi="Times New Roman" w:cs="Times New Roman"/>
          <w:sz w:val="24"/>
        </w:rPr>
      </w:pPr>
    </w:p>
    <w:p w:rsidR="000647A5" w:rsidRPr="00BF60F3" w:rsidRDefault="000647A5" w:rsidP="00E36EE2">
      <w:pPr>
        <w:pStyle w:val="ListParagraph"/>
        <w:numPr>
          <w:ilvl w:val="0"/>
          <w:numId w:val="15"/>
        </w:numPr>
        <w:spacing w:after="160" w:line="240" w:lineRule="auto"/>
        <w:ind w:left="360"/>
        <w:contextualSpacing w:val="0"/>
        <w:rPr>
          <w:rFonts w:ascii="Arial" w:hAnsi="Arial" w:cs="Arial"/>
          <w:i/>
        </w:rPr>
      </w:pPr>
      <w:r w:rsidRPr="00BF60F3">
        <w:rPr>
          <w:rFonts w:ascii="Arial" w:hAnsi="Arial" w:cs="Arial"/>
          <w:i/>
        </w:rPr>
        <w:t>Lecturers consider the value of interaction and reflect if there is scope to increase the number of interactive learning tasks in a course.</w:t>
      </w:r>
    </w:p>
    <w:p w:rsidR="000647A5" w:rsidRPr="00BF60F3" w:rsidRDefault="000647A5" w:rsidP="00E36EE2">
      <w:pPr>
        <w:pStyle w:val="ListParagraph"/>
        <w:spacing w:after="0" w:line="240" w:lineRule="auto"/>
        <w:ind w:left="360"/>
        <w:rPr>
          <w:rFonts w:ascii="Times New Roman" w:hAnsi="Times New Roman" w:cs="Times New Roman"/>
          <w:sz w:val="24"/>
        </w:rPr>
      </w:pPr>
      <w:r w:rsidRPr="00BF60F3">
        <w:rPr>
          <w:rFonts w:ascii="Times New Roman" w:hAnsi="Times New Roman" w:cs="Times New Roman"/>
          <w:sz w:val="24"/>
        </w:rPr>
        <w:t>Students in both groups examined felt that there was a</w:t>
      </w:r>
      <w:r w:rsidR="00BF6F5B" w:rsidRPr="00BF60F3">
        <w:rPr>
          <w:rFonts w:ascii="Times New Roman" w:hAnsi="Times New Roman" w:cs="Times New Roman"/>
          <w:sz w:val="24"/>
        </w:rPr>
        <w:t xml:space="preserve"> </w:t>
      </w:r>
      <w:r w:rsidRPr="00BF60F3">
        <w:rPr>
          <w:rFonts w:ascii="Times New Roman" w:hAnsi="Times New Roman" w:cs="Times New Roman"/>
          <w:sz w:val="24"/>
        </w:rPr>
        <w:t>need for more interaction and practical work. Whilst it is fair to say that some aspects of university learning are not easily converted into practical activity, it is not beyond the scope of any member of the teaching staff to increase the number of interactions within their course. These can be both lecturer-student and student-student but may also include intra-student reflection on questions/scenarios. There is clear evidence to show that verbal exposition is a poor tool for higher order learning and that knowledge constructed through interaction is easier to remember and more applicable to new circumstances. The tutorial is an ideal arena for interaction and this may be one of the reasons why students seemed to value it but interaction can also be instigated in the lecture theatre and followed up through online discussion boards, blogs and wikis. It is recommended that all academic staff identify where interactive activities can be introduced into their course and do so forthwith.</w:t>
      </w:r>
    </w:p>
    <w:p w:rsidR="000647A5" w:rsidRPr="00BF60F3" w:rsidRDefault="000647A5" w:rsidP="00E36EE2">
      <w:pPr>
        <w:spacing w:after="0" w:line="240" w:lineRule="auto"/>
        <w:ind w:left="360" w:hanging="360"/>
        <w:rPr>
          <w:rFonts w:ascii="Arial" w:hAnsi="Arial" w:cs="Arial"/>
          <w:sz w:val="24"/>
        </w:rPr>
      </w:pPr>
    </w:p>
    <w:p w:rsidR="000647A5" w:rsidRPr="00BF60F3" w:rsidRDefault="000647A5" w:rsidP="00E36EE2">
      <w:pPr>
        <w:pStyle w:val="ListParagraph"/>
        <w:numPr>
          <w:ilvl w:val="0"/>
          <w:numId w:val="15"/>
        </w:numPr>
        <w:spacing w:after="160" w:line="240" w:lineRule="auto"/>
        <w:ind w:left="360"/>
        <w:contextualSpacing w:val="0"/>
        <w:rPr>
          <w:rFonts w:ascii="Arial" w:hAnsi="Arial" w:cs="Arial"/>
          <w:i/>
        </w:rPr>
      </w:pPr>
      <w:r w:rsidRPr="00BF60F3">
        <w:rPr>
          <w:rFonts w:ascii="Arial" w:hAnsi="Arial" w:cs="Arial"/>
          <w:i/>
        </w:rPr>
        <w:t>The way information is presented should be examined by course co-ordinators/lecturers – many students spoke about crammed PowerPoint presentations.</w:t>
      </w:r>
    </w:p>
    <w:p w:rsidR="000647A5" w:rsidRPr="00BF60F3" w:rsidRDefault="000647A5" w:rsidP="00E36EE2">
      <w:pPr>
        <w:pStyle w:val="ListParagraph"/>
        <w:spacing w:after="0" w:line="240" w:lineRule="auto"/>
        <w:ind w:left="360"/>
        <w:rPr>
          <w:rFonts w:ascii="Times New Roman" w:hAnsi="Times New Roman" w:cs="Times New Roman"/>
          <w:sz w:val="24"/>
        </w:rPr>
      </w:pPr>
      <w:r w:rsidRPr="00BF60F3">
        <w:rPr>
          <w:rFonts w:ascii="Times New Roman" w:hAnsi="Times New Roman" w:cs="Times New Roman"/>
          <w:sz w:val="24"/>
        </w:rPr>
        <w:t xml:space="preserve">The use of PowerPoint has become ubiquitous in teaching yet few lecturers have been ‘trained’ in its use. The software itself is hugely malleable and has great potential to support teaching yet it seems underused or poorly used. PowerPoint is a visual media that has come from the business world, where it was initially used to show graphs, forecasts and such. In its move to education there seems to be a reduction in the way that it has been used and slides are now found to be crammed with written text that too many lecturers simply read to students. A Google search for the phrase ‘Death by PowerPoint’ found 3,690,000 results and another for the phrase ‘I hate PowerPoint’ found 4,160,000 results. Using PowerPoint to display large quantities of text is reductive in two ways – it reduces the value of this tool to display supportive illustrations and it reduces the role of the lecturer to mere narrator. The power of the lecture is lost if the lecturer becomes subservient to large blocks of written text. It is recommended that lecturers review the way in which they use PowerPoint and attend training sessions on PowerPoint usage as a way to enhance their presentations. </w:t>
      </w:r>
    </w:p>
    <w:p w:rsidR="000647A5" w:rsidRPr="00BF60F3" w:rsidRDefault="000647A5" w:rsidP="00E36EE2">
      <w:pPr>
        <w:spacing w:after="0" w:line="240" w:lineRule="auto"/>
        <w:ind w:left="360" w:hanging="360"/>
        <w:rPr>
          <w:rFonts w:ascii="Arial" w:hAnsi="Arial" w:cs="Arial"/>
          <w:sz w:val="24"/>
        </w:rPr>
      </w:pPr>
    </w:p>
    <w:p w:rsidR="000647A5" w:rsidRPr="00BF60F3" w:rsidRDefault="000647A5" w:rsidP="00E36EE2">
      <w:pPr>
        <w:pStyle w:val="ListParagraph"/>
        <w:numPr>
          <w:ilvl w:val="0"/>
          <w:numId w:val="15"/>
        </w:numPr>
        <w:spacing w:after="160" w:line="240" w:lineRule="auto"/>
        <w:ind w:left="360"/>
        <w:contextualSpacing w:val="0"/>
        <w:rPr>
          <w:rFonts w:ascii="Arial" w:hAnsi="Arial" w:cs="Arial"/>
          <w:i/>
        </w:rPr>
      </w:pPr>
      <w:r w:rsidRPr="00BF60F3">
        <w:rPr>
          <w:rFonts w:ascii="Arial" w:hAnsi="Arial" w:cs="Arial"/>
          <w:i/>
        </w:rPr>
        <w:t xml:space="preserve">Materials are posted online regularly through </w:t>
      </w:r>
      <w:r w:rsidR="00C7754A" w:rsidRPr="00BF60F3">
        <w:rPr>
          <w:rFonts w:ascii="Arial" w:hAnsi="Arial" w:cs="Arial"/>
          <w:i/>
        </w:rPr>
        <w:t>virtual learning environments</w:t>
      </w:r>
    </w:p>
    <w:p w:rsidR="000647A5" w:rsidRPr="00BF60F3" w:rsidRDefault="000647A5" w:rsidP="006A60ED">
      <w:pPr>
        <w:pStyle w:val="ListParagraph"/>
        <w:spacing w:after="240" w:line="240" w:lineRule="auto"/>
        <w:ind w:left="360"/>
        <w:rPr>
          <w:rFonts w:ascii="Times New Roman" w:hAnsi="Times New Roman" w:cs="Times New Roman"/>
          <w:sz w:val="24"/>
        </w:rPr>
      </w:pPr>
      <w:r w:rsidRPr="00BF60F3">
        <w:rPr>
          <w:rFonts w:ascii="Times New Roman" w:hAnsi="Times New Roman" w:cs="Times New Roman"/>
          <w:sz w:val="24"/>
        </w:rPr>
        <w:t xml:space="preserve">In a world of mobile devices and </w:t>
      </w:r>
      <w:proofErr w:type="spellStart"/>
      <w:r w:rsidRPr="00BF60F3">
        <w:rPr>
          <w:rFonts w:ascii="Times New Roman" w:hAnsi="Times New Roman" w:cs="Times New Roman"/>
          <w:sz w:val="24"/>
        </w:rPr>
        <w:t>hyperconnectivity</w:t>
      </w:r>
      <w:proofErr w:type="spellEnd"/>
      <w:r w:rsidRPr="00BF60F3">
        <w:rPr>
          <w:rFonts w:ascii="Times New Roman" w:hAnsi="Times New Roman" w:cs="Times New Roman"/>
          <w:sz w:val="24"/>
        </w:rPr>
        <w:t xml:space="preserve">, a university that ignores the role of technology fails to acknowledge the lived experiences of its students. Whilst it is recognised that any virtual learning environment </w:t>
      </w:r>
      <w:r w:rsidR="00C7754A" w:rsidRPr="00BF60F3">
        <w:rPr>
          <w:rFonts w:ascii="Times New Roman" w:hAnsi="Times New Roman" w:cs="Times New Roman"/>
          <w:sz w:val="24"/>
        </w:rPr>
        <w:t xml:space="preserve">(VLE) </w:t>
      </w:r>
      <w:r w:rsidRPr="00BF60F3">
        <w:rPr>
          <w:rFonts w:ascii="Times New Roman" w:hAnsi="Times New Roman" w:cs="Times New Roman"/>
          <w:sz w:val="24"/>
        </w:rPr>
        <w:t xml:space="preserve">may seem stuffy in comparison to social media, there is clearly much merit in having a range of online resources available for students. </w:t>
      </w:r>
      <w:r w:rsidR="00C7754A" w:rsidRPr="00BF60F3">
        <w:rPr>
          <w:rFonts w:ascii="Times New Roman" w:hAnsi="Times New Roman" w:cs="Times New Roman"/>
          <w:sz w:val="24"/>
        </w:rPr>
        <w:t>Most universities use VLEs</w:t>
      </w:r>
      <w:r w:rsidRPr="00BF60F3">
        <w:rPr>
          <w:rFonts w:ascii="Times New Roman" w:hAnsi="Times New Roman" w:cs="Times New Roman"/>
          <w:sz w:val="24"/>
        </w:rPr>
        <w:t xml:space="preserve"> and </w:t>
      </w:r>
      <w:r w:rsidR="00C7754A" w:rsidRPr="00BF60F3">
        <w:rPr>
          <w:rFonts w:ascii="Times New Roman" w:hAnsi="Times New Roman" w:cs="Times New Roman"/>
          <w:sz w:val="24"/>
        </w:rPr>
        <w:t>some are used well; however if lecturers fail to upload</w:t>
      </w:r>
      <w:r w:rsidRPr="00BF60F3">
        <w:rPr>
          <w:rFonts w:ascii="Times New Roman" w:hAnsi="Times New Roman" w:cs="Times New Roman"/>
          <w:sz w:val="24"/>
        </w:rPr>
        <w:t xml:space="preserve"> material</w:t>
      </w:r>
      <w:r w:rsidR="00C7754A" w:rsidRPr="00BF60F3">
        <w:rPr>
          <w:rFonts w:ascii="Times New Roman" w:hAnsi="Times New Roman" w:cs="Times New Roman"/>
          <w:sz w:val="24"/>
        </w:rPr>
        <w:t>s then they</w:t>
      </w:r>
      <w:r w:rsidRPr="00BF60F3">
        <w:rPr>
          <w:rFonts w:ascii="Times New Roman" w:hAnsi="Times New Roman" w:cs="Times New Roman"/>
          <w:sz w:val="24"/>
        </w:rPr>
        <w:t xml:space="preserve"> ignore t</w:t>
      </w:r>
      <w:r w:rsidR="00C7754A" w:rsidRPr="00BF60F3">
        <w:rPr>
          <w:rFonts w:ascii="Times New Roman" w:hAnsi="Times New Roman" w:cs="Times New Roman"/>
          <w:sz w:val="24"/>
        </w:rPr>
        <w:t>he potential of this tool. Many universities have positioned themselves</w:t>
      </w:r>
      <w:r w:rsidRPr="00BF60F3">
        <w:rPr>
          <w:rFonts w:ascii="Times New Roman" w:hAnsi="Times New Roman" w:cs="Times New Roman"/>
          <w:sz w:val="24"/>
        </w:rPr>
        <w:t xml:space="preserve"> such that there is now a clear focus on the role and value of ble</w:t>
      </w:r>
      <w:r w:rsidR="00C7754A" w:rsidRPr="00BF60F3">
        <w:rPr>
          <w:rFonts w:ascii="Times New Roman" w:hAnsi="Times New Roman" w:cs="Times New Roman"/>
          <w:sz w:val="24"/>
        </w:rPr>
        <w:t>nded learning; therefore, as each u</w:t>
      </w:r>
      <w:r w:rsidRPr="00BF60F3">
        <w:rPr>
          <w:rFonts w:ascii="Times New Roman" w:hAnsi="Times New Roman" w:cs="Times New Roman"/>
          <w:sz w:val="24"/>
        </w:rPr>
        <w:t>niversity moves towards a more blende</w:t>
      </w:r>
      <w:r w:rsidR="00C7754A" w:rsidRPr="00BF60F3">
        <w:rPr>
          <w:rFonts w:ascii="Times New Roman" w:hAnsi="Times New Roman" w:cs="Times New Roman"/>
          <w:sz w:val="24"/>
        </w:rPr>
        <w:t>d mode of delivery, the role of the VLE</w:t>
      </w:r>
      <w:r w:rsidRPr="00BF60F3">
        <w:rPr>
          <w:rFonts w:ascii="Times New Roman" w:hAnsi="Times New Roman" w:cs="Times New Roman"/>
          <w:sz w:val="24"/>
        </w:rPr>
        <w:t xml:space="preserve"> becomes </w:t>
      </w:r>
      <w:r w:rsidRPr="00BF60F3">
        <w:rPr>
          <w:rFonts w:ascii="Times New Roman" w:hAnsi="Times New Roman" w:cs="Times New Roman"/>
          <w:sz w:val="24"/>
        </w:rPr>
        <w:lastRenderedPageBreak/>
        <w:t>more and more significa</w:t>
      </w:r>
      <w:r w:rsidR="00BF6F5B" w:rsidRPr="00BF60F3">
        <w:rPr>
          <w:rFonts w:ascii="Times New Roman" w:hAnsi="Times New Roman" w:cs="Times New Roman"/>
          <w:sz w:val="24"/>
        </w:rPr>
        <w:t xml:space="preserve">nt. It is recommended that </w:t>
      </w:r>
      <w:r w:rsidR="00C7754A" w:rsidRPr="00BF60F3">
        <w:rPr>
          <w:rFonts w:ascii="Times New Roman" w:hAnsi="Times New Roman" w:cs="Times New Roman"/>
          <w:sz w:val="24"/>
        </w:rPr>
        <w:t xml:space="preserve">universities conduct an audit of their VLE </w:t>
      </w:r>
      <w:r w:rsidRPr="00BF60F3">
        <w:rPr>
          <w:rFonts w:ascii="Times New Roman" w:hAnsi="Times New Roman" w:cs="Times New Roman"/>
          <w:sz w:val="24"/>
        </w:rPr>
        <w:t>usage and update po</w:t>
      </w:r>
      <w:r w:rsidR="00C7754A" w:rsidRPr="00BF60F3">
        <w:rPr>
          <w:rFonts w:ascii="Times New Roman" w:hAnsi="Times New Roman" w:cs="Times New Roman"/>
          <w:sz w:val="24"/>
        </w:rPr>
        <w:t>licies</w:t>
      </w:r>
      <w:r w:rsidRPr="00BF60F3">
        <w:rPr>
          <w:rFonts w:ascii="Times New Roman" w:hAnsi="Times New Roman" w:cs="Times New Roman"/>
          <w:sz w:val="24"/>
        </w:rPr>
        <w:t xml:space="preserve"> on usage so as to establish a minimum requirement for each course. Training needs should also be identified and good practice shared. </w:t>
      </w:r>
    </w:p>
    <w:p w:rsidR="000647A5" w:rsidRPr="00BF60F3" w:rsidRDefault="006B1A79" w:rsidP="006A60ED">
      <w:pPr>
        <w:spacing w:after="160" w:line="240" w:lineRule="auto"/>
        <w:rPr>
          <w:rFonts w:ascii="Arial" w:hAnsi="Arial" w:cs="Arial"/>
          <w:b/>
        </w:rPr>
      </w:pPr>
      <w:r w:rsidRPr="00BF60F3">
        <w:rPr>
          <w:rFonts w:ascii="Arial" w:hAnsi="Arial" w:cs="Arial"/>
          <w:b/>
        </w:rPr>
        <w:t>Final remark</w:t>
      </w:r>
    </w:p>
    <w:p w:rsidR="000647A5" w:rsidRPr="00BF60F3" w:rsidRDefault="006B1A79" w:rsidP="00E36EE2">
      <w:pPr>
        <w:spacing w:line="240" w:lineRule="auto"/>
        <w:rPr>
          <w:rFonts w:ascii="Times New Roman" w:hAnsi="Times New Roman" w:cs="Times New Roman"/>
          <w:sz w:val="24"/>
        </w:rPr>
      </w:pPr>
      <w:r w:rsidRPr="00BF60F3">
        <w:rPr>
          <w:rFonts w:ascii="Times New Roman" w:hAnsi="Times New Roman" w:cs="Times New Roman"/>
          <w:sz w:val="24"/>
        </w:rPr>
        <w:t xml:space="preserve">The student voice offers a valuable insight into the learning experience and, as such, has agency and power.  In developing Higher Education practice, no tool should be overlooked. </w:t>
      </w:r>
      <w:r w:rsidR="00734F9C" w:rsidRPr="00BF60F3">
        <w:rPr>
          <w:rFonts w:ascii="Times New Roman" w:hAnsi="Times New Roman" w:cs="Times New Roman"/>
          <w:sz w:val="24"/>
        </w:rPr>
        <w:t xml:space="preserve">Whilst </w:t>
      </w:r>
      <w:r w:rsidR="00D242ED" w:rsidRPr="00BF60F3">
        <w:rPr>
          <w:rFonts w:ascii="Times New Roman" w:hAnsi="Times New Roman" w:cs="Times New Roman"/>
          <w:sz w:val="24"/>
        </w:rPr>
        <w:t>this research was undertaken in</w:t>
      </w:r>
      <w:r w:rsidR="00734F9C" w:rsidRPr="00BF60F3">
        <w:rPr>
          <w:rFonts w:ascii="Times New Roman" w:hAnsi="Times New Roman" w:cs="Times New Roman"/>
          <w:sz w:val="24"/>
        </w:rPr>
        <w:t xml:space="preserve"> </w:t>
      </w:r>
      <w:r w:rsidR="00D242ED" w:rsidRPr="00BF60F3">
        <w:rPr>
          <w:rFonts w:ascii="Times New Roman" w:hAnsi="Times New Roman" w:cs="Times New Roman"/>
          <w:sz w:val="24"/>
        </w:rPr>
        <w:t>a particular context and local/c</w:t>
      </w:r>
      <w:r w:rsidR="00734F9C" w:rsidRPr="00BF60F3">
        <w:rPr>
          <w:rFonts w:ascii="Times New Roman" w:hAnsi="Times New Roman" w:cs="Times New Roman"/>
          <w:sz w:val="24"/>
        </w:rPr>
        <w:t>ultural factors may be at play the number of participants involved suggests that the research itself is more than a small scale case study and that there may be implications here for other universities. From this perspective two suggestions are made regarding what this might mean for wider Higher Education practice. The first suggestion might be seen as a ‘quick fix’ but it is hoped that the second will lead to a more rigorous enhancement of practice. Firstly, where universities have identified undergraduate courses with high failure rates they may wish to consider adopting some (or all) of the five recommendations. Secondly, universities s</w:t>
      </w:r>
      <w:r w:rsidRPr="00BF60F3">
        <w:rPr>
          <w:rFonts w:ascii="Times New Roman" w:hAnsi="Times New Roman" w:cs="Times New Roman"/>
          <w:sz w:val="24"/>
        </w:rPr>
        <w:t>hould</w:t>
      </w:r>
      <w:r w:rsidRPr="00BF60F3">
        <w:t xml:space="preserve"> </w:t>
      </w:r>
      <w:r w:rsidRPr="00BF60F3">
        <w:rPr>
          <w:rFonts w:ascii="Times New Roman" w:hAnsi="Times New Roman" w:cs="Times New Roman"/>
          <w:sz w:val="24"/>
        </w:rPr>
        <w:t xml:space="preserve">seek to find context-specific solutions by adopting the above methods so that they can listen to the voice of their students (and act upon it). </w:t>
      </w:r>
    </w:p>
    <w:p w:rsidR="000647A5" w:rsidRPr="00BF60F3" w:rsidRDefault="000647A5" w:rsidP="00E36EE2">
      <w:pPr>
        <w:spacing w:line="240" w:lineRule="auto"/>
        <w:rPr>
          <w:rFonts w:ascii="Times New Roman" w:hAnsi="Times New Roman" w:cs="Times New Roman"/>
          <w:sz w:val="24"/>
        </w:rPr>
      </w:pPr>
    </w:p>
    <w:p w:rsidR="000647A5" w:rsidRPr="00BF60F3" w:rsidRDefault="000647A5" w:rsidP="00E36EE2">
      <w:pPr>
        <w:spacing w:line="240" w:lineRule="auto"/>
        <w:rPr>
          <w:rFonts w:ascii="Times New Roman" w:hAnsi="Times New Roman" w:cs="Times New Roman"/>
          <w:sz w:val="24"/>
        </w:rPr>
      </w:pPr>
    </w:p>
    <w:p w:rsidR="000647A5" w:rsidRPr="00BF60F3" w:rsidRDefault="000647A5" w:rsidP="00E36EE2">
      <w:pPr>
        <w:spacing w:line="240" w:lineRule="auto"/>
        <w:rPr>
          <w:rFonts w:ascii="Times New Roman" w:hAnsi="Times New Roman" w:cs="Times New Roman"/>
          <w:sz w:val="24"/>
        </w:rPr>
      </w:pPr>
    </w:p>
    <w:p w:rsidR="000647A5" w:rsidRPr="00BF60F3" w:rsidRDefault="000647A5" w:rsidP="000E4F79">
      <w:pPr>
        <w:spacing w:after="160" w:line="240" w:lineRule="auto"/>
        <w:rPr>
          <w:rFonts w:ascii="Arial" w:hAnsi="Arial" w:cs="Arial"/>
          <w:b/>
        </w:rPr>
      </w:pPr>
      <w:r w:rsidRPr="00BF60F3">
        <w:rPr>
          <w:rFonts w:ascii="Arial" w:hAnsi="Arial" w:cs="Arial"/>
          <w:b/>
        </w:rPr>
        <w:t>References</w:t>
      </w:r>
    </w:p>
    <w:p w:rsidR="00C22F59" w:rsidRPr="00BF60F3" w:rsidRDefault="00C22F59"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Bedard</w:t>
      </w:r>
      <w:proofErr w:type="spellEnd"/>
      <w:r w:rsidRPr="00BF60F3">
        <w:rPr>
          <w:rFonts w:ascii="Times New Roman" w:hAnsi="Times New Roman" w:cs="Times New Roman"/>
          <w:sz w:val="24"/>
          <w:szCs w:val="24"/>
        </w:rPr>
        <w:t>, K. and Kuhn, P. (2008) ‘</w:t>
      </w:r>
      <w:proofErr w:type="gramStart"/>
      <w:r w:rsidRPr="00BF60F3">
        <w:rPr>
          <w:rFonts w:ascii="Times New Roman" w:hAnsi="Times New Roman" w:cs="Times New Roman"/>
          <w:sz w:val="24"/>
          <w:szCs w:val="24"/>
        </w:rPr>
        <w:t>Where</w:t>
      </w:r>
      <w:proofErr w:type="gramEnd"/>
      <w:r w:rsidRPr="00BF60F3">
        <w:rPr>
          <w:rFonts w:ascii="Times New Roman" w:hAnsi="Times New Roman" w:cs="Times New Roman"/>
          <w:sz w:val="24"/>
          <w:szCs w:val="24"/>
        </w:rPr>
        <w:t xml:space="preserve"> class size really matters: Class size and student ratings of instructor effectiveness’. </w:t>
      </w:r>
      <w:proofErr w:type="gramStart"/>
      <w:r w:rsidRPr="00BF60F3">
        <w:rPr>
          <w:rFonts w:ascii="Times New Roman" w:hAnsi="Times New Roman" w:cs="Times New Roman"/>
          <w:i/>
          <w:sz w:val="24"/>
          <w:szCs w:val="24"/>
        </w:rPr>
        <w:t>Economics of Education Review</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27 (3): 253-265.</w:t>
      </w:r>
    </w:p>
    <w:p w:rsidR="00C22F59" w:rsidRPr="00BF60F3" w:rsidRDefault="00C22F59"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Beran</w:t>
      </w:r>
      <w:proofErr w:type="spellEnd"/>
      <w:r w:rsidRPr="00BF60F3">
        <w:rPr>
          <w:rFonts w:ascii="Times New Roman" w:hAnsi="Times New Roman" w:cs="Times New Roman"/>
          <w:sz w:val="24"/>
          <w:szCs w:val="24"/>
        </w:rPr>
        <w:t>, T. (2005)</w:t>
      </w:r>
      <w:r w:rsidR="004C7AB9" w:rsidRPr="00BF60F3">
        <w:rPr>
          <w:rFonts w:ascii="Times New Roman" w:hAnsi="Times New Roman" w:cs="Times New Roman"/>
          <w:sz w:val="24"/>
          <w:szCs w:val="24"/>
        </w:rPr>
        <w:t xml:space="preserve"> ‘</w:t>
      </w:r>
      <w:r w:rsidRPr="00BF60F3">
        <w:rPr>
          <w:rFonts w:ascii="Times New Roman" w:hAnsi="Times New Roman" w:cs="Times New Roman"/>
          <w:sz w:val="24"/>
          <w:szCs w:val="24"/>
        </w:rPr>
        <w:t>Ratings of university teacher instruction: how much do student and course characteristics really matter?</w:t>
      </w:r>
      <w:proofErr w:type="gramStart"/>
      <w:r w:rsidR="004C7AB9" w:rsidRPr="00BF60F3">
        <w:rPr>
          <w:rFonts w:ascii="Times New Roman" w:hAnsi="Times New Roman" w:cs="Times New Roman"/>
          <w:sz w:val="24"/>
          <w:szCs w:val="24"/>
        </w:rPr>
        <w:t>’.</w:t>
      </w:r>
      <w:proofErr w:type="gramEnd"/>
      <w:r w:rsidR="004C7AB9" w:rsidRPr="00BF60F3">
        <w:rPr>
          <w:rFonts w:ascii="Times New Roman" w:hAnsi="Times New Roman" w:cs="Times New Roman"/>
          <w:sz w:val="24"/>
          <w:szCs w:val="24"/>
        </w:rPr>
        <w:t xml:space="preserve"> </w:t>
      </w:r>
      <w:proofErr w:type="gramStart"/>
      <w:r w:rsidR="004C7AB9" w:rsidRPr="00BF60F3">
        <w:rPr>
          <w:rFonts w:ascii="Times New Roman" w:hAnsi="Times New Roman" w:cs="Times New Roman"/>
          <w:i/>
          <w:sz w:val="24"/>
          <w:szCs w:val="24"/>
        </w:rPr>
        <w:t>Assessment &amp; Evaluation in Higher Education</w:t>
      </w:r>
      <w:r w:rsidR="004C7AB9"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30</w:t>
      </w:r>
      <w:r w:rsidR="004C7AB9" w:rsidRPr="00BF60F3">
        <w:rPr>
          <w:rFonts w:ascii="Times New Roman" w:hAnsi="Times New Roman" w:cs="Times New Roman"/>
          <w:sz w:val="24"/>
          <w:szCs w:val="24"/>
        </w:rPr>
        <w:t xml:space="preserve"> </w:t>
      </w:r>
      <w:r w:rsidRPr="00BF60F3">
        <w:rPr>
          <w:rFonts w:ascii="Times New Roman" w:hAnsi="Times New Roman" w:cs="Times New Roman"/>
          <w:sz w:val="24"/>
          <w:szCs w:val="24"/>
        </w:rPr>
        <w:t>(6)</w:t>
      </w:r>
      <w:r w:rsidR="004C7AB9" w:rsidRPr="00BF60F3">
        <w:rPr>
          <w:rFonts w:ascii="Times New Roman" w:hAnsi="Times New Roman" w:cs="Times New Roman"/>
          <w:sz w:val="24"/>
          <w:szCs w:val="24"/>
        </w:rPr>
        <w:t>:</w:t>
      </w:r>
      <w:r w:rsidRPr="00BF60F3">
        <w:rPr>
          <w:rFonts w:ascii="Times New Roman" w:hAnsi="Times New Roman" w:cs="Times New Roman"/>
          <w:sz w:val="24"/>
          <w:szCs w:val="24"/>
        </w:rPr>
        <w:t xml:space="preserve"> 593-601.</w:t>
      </w:r>
    </w:p>
    <w:p w:rsidR="00E46819" w:rsidRPr="00BF60F3" w:rsidRDefault="00E46819" w:rsidP="00E36EE2">
      <w:pPr>
        <w:spacing w:line="240" w:lineRule="auto"/>
        <w:rPr>
          <w:rFonts w:ascii="Times New Roman" w:hAnsi="Times New Roman" w:cs="Times New Roman"/>
          <w:sz w:val="24"/>
          <w:szCs w:val="24"/>
        </w:rPr>
      </w:pPr>
      <w:proofErr w:type="spellStart"/>
      <w:proofErr w:type="gramStart"/>
      <w:r w:rsidRPr="00BF60F3">
        <w:rPr>
          <w:rFonts w:ascii="Times New Roman" w:hAnsi="Times New Roman" w:cs="Times New Roman"/>
          <w:sz w:val="24"/>
          <w:szCs w:val="24"/>
        </w:rPr>
        <w:t>Bornholt</w:t>
      </w:r>
      <w:proofErr w:type="spellEnd"/>
      <w:r w:rsidRPr="00BF60F3">
        <w:rPr>
          <w:rFonts w:ascii="Times New Roman" w:hAnsi="Times New Roman" w:cs="Times New Roman"/>
          <w:sz w:val="24"/>
          <w:szCs w:val="24"/>
        </w:rPr>
        <w:t xml:space="preserve">, L., and </w:t>
      </w:r>
      <w:proofErr w:type="spellStart"/>
      <w:r w:rsidRPr="00BF60F3">
        <w:rPr>
          <w:rFonts w:ascii="Times New Roman" w:hAnsi="Times New Roman" w:cs="Times New Roman"/>
          <w:sz w:val="24"/>
          <w:szCs w:val="24"/>
        </w:rPr>
        <w:t>Möller</w:t>
      </w:r>
      <w:proofErr w:type="spellEnd"/>
      <w:r w:rsidRPr="00BF60F3">
        <w:rPr>
          <w:rFonts w:ascii="Times New Roman" w:hAnsi="Times New Roman" w:cs="Times New Roman"/>
          <w:sz w:val="24"/>
          <w:szCs w:val="24"/>
        </w:rPr>
        <w:t>, J. (2003) ‘Attributions about achievement and intentions about further study in social context’.</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Social Psychology of Education</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6 (3): 217–231.</w:t>
      </w:r>
    </w:p>
    <w:p w:rsidR="000647A5" w:rsidRPr="00BF60F3" w:rsidRDefault="006C21CE"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Chan</w:t>
      </w:r>
      <w:r w:rsidR="00977FDE" w:rsidRPr="00BF60F3">
        <w:rPr>
          <w:rFonts w:ascii="Times New Roman" w:hAnsi="Times New Roman" w:cs="Times New Roman"/>
          <w:sz w:val="24"/>
          <w:szCs w:val="24"/>
        </w:rPr>
        <w:t>ock</w:t>
      </w:r>
      <w:proofErr w:type="spellEnd"/>
      <w:r w:rsidR="00977FDE" w:rsidRPr="00BF60F3">
        <w:rPr>
          <w:rFonts w:ascii="Times New Roman" w:hAnsi="Times New Roman" w:cs="Times New Roman"/>
          <w:sz w:val="24"/>
          <w:szCs w:val="24"/>
        </w:rPr>
        <w:t>, K. (2007)</w:t>
      </w:r>
      <w:r w:rsidR="000647A5" w:rsidRPr="00BF60F3">
        <w:rPr>
          <w:rFonts w:ascii="Times New Roman" w:hAnsi="Times New Roman" w:cs="Times New Roman"/>
          <w:sz w:val="24"/>
          <w:szCs w:val="24"/>
        </w:rPr>
        <w:t xml:space="preserve"> </w:t>
      </w:r>
      <w:r w:rsidR="00C6018C" w:rsidRPr="00BF60F3">
        <w:rPr>
          <w:rFonts w:ascii="Times New Roman" w:hAnsi="Times New Roman" w:cs="Times New Roman"/>
          <w:sz w:val="24"/>
          <w:szCs w:val="24"/>
        </w:rPr>
        <w:t>‘</w:t>
      </w:r>
      <w:proofErr w:type="gramStart"/>
      <w:r w:rsidR="000647A5" w:rsidRPr="00BF60F3">
        <w:rPr>
          <w:rFonts w:ascii="Times New Roman" w:hAnsi="Times New Roman" w:cs="Times New Roman"/>
          <w:sz w:val="24"/>
          <w:szCs w:val="24"/>
        </w:rPr>
        <w:t>What</w:t>
      </w:r>
      <w:proofErr w:type="gramEnd"/>
      <w:r w:rsidR="000647A5" w:rsidRPr="00BF60F3">
        <w:rPr>
          <w:rFonts w:ascii="Times New Roman" w:hAnsi="Times New Roman" w:cs="Times New Roman"/>
          <w:sz w:val="24"/>
          <w:szCs w:val="24"/>
        </w:rPr>
        <w:t xml:space="preserve"> academics language and learning advisors bring to the scholarship of teaching and learning: Problems and possibilities for dialogue with the disciplines</w:t>
      </w:r>
      <w:r w:rsidR="00C6018C" w:rsidRPr="00BF60F3">
        <w:rPr>
          <w:rFonts w:ascii="Times New Roman" w:hAnsi="Times New Roman" w:cs="Times New Roman"/>
          <w:sz w:val="24"/>
          <w:szCs w:val="24"/>
        </w:rPr>
        <w:t>’</w:t>
      </w:r>
      <w:r w:rsidR="000647A5" w:rsidRPr="00BF60F3">
        <w:rPr>
          <w:rFonts w:ascii="Times New Roman" w:hAnsi="Times New Roman" w:cs="Times New Roman"/>
          <w:sz w:val="24"/>
          <w:szCs w:val="24"/>
        </w:rPr>
        <w:t xml:space="preserve">. </w:t>
      </w:r>
      <w:proofErr w:type="gramStart"/>
      <w:r w:rsidR="000647A5" w:rsidRPr="00BF60F3">
        <w:rPr>
          <w:rFonts w:ascii="Times New Roman" w:hAnsi="Times New Roman" w:cs="Times New Roman"/>
          <w:i/>
          <w:sz w:val="24"/>
          <w:szCs w:val="24"/>
        </w:rPr>
        <w:t>Higher Education Research &amp; Development</w:t>
      </w:r>
      <w:r w:rsidR="00977FDE" w:rsidRPr="00BF60F3">
        <w:rPr>
          <w:rFonts w:ascii="Times New Roman" w:hAnsi="Times New Roman" w:cs="Times New Roman"/>
          <w:i/>
          <w:sz w:val="24"/>
          <w:szCs w:val="24"/>
        </w:rPr>
        <w:t>.</w:t>
      </w:r>
      <w:proofErr w:type="gramEnd"/>
      <w:r w:rsidR="000647A5" w:rsidRPr="00BF60F3">
        <w:rPr>
          <w:rFonts w:ascii="Times New Roman" w:hAnsi="Times New Roman" w:cs="Times New Roman"/>
          <w:i/>
          <w:sz w:val="24"/>
          <w:szCs w:val="24"/>
        </w:rPr>
        <w:t xml:space="preserve"> </w:t>
      </w:r>
      <w:r w:rsidR="000647A5" w:rsidRPr="00BF60F3">
        <w:rPr>
          <w:rFonts w:ascii="Times New Roman" w:hAnsi="Times New Roman" w:cs="Times New Roman"/>
          <w:sz w:val="24"/>
          <w:szCs w:val="24"/>
        </w:rPr>
        <w:t>26</w:t>
      </w:r>
      <w:r w:rsidR="00977FDE" w:rsidRPr="00BF60F3">
        <w:rPr>
          <w:rFonts w:ascii="Times New Roman" w:hAnsi="Times New Roman" w:cs="Times New Roman"/>
          <w:sz w:val="24"/>
          <w:szCs w:val="24"/>
        </w:rPr>
        <w:t xml:space="preserve"> (3);</w:t>
      </w:r>
      <w:r w:rsidR="000647A5" w:rsidRPr="00BF60F3">
        <w:rPr>
          <w:rFonts w:ascii="Times New Roman" w:hAnsi="Times New Roman" w:cs="Times New Roman"/>
          <w:sz w:val="24"/>
          <w:szCs w:val="24"/>
        </w:rPr>
        <w:t xml:space="preserve"> 269-280.</w:t>
      </w:r>
    </w:p>
    <w:p w:rsidR="00E3169D" w:rsidRPr="00BF60F3" w:rsidRDefault="00977FDE"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Clayson</w:t>
      </w:r>
      <w:proofErr w:type="spellEnd"/>
      <w:r w:rsidRPr="00BF60F3">
        <w:rPr>
          <w:rFonts w:ascii="Times New Roman" w:hAnsi="Times New Roman" w:cs="Times New Roman"/>
          <w:sz w:val="24"/>
          <w:szCs w:val="24"/>
        </w:rPr>
        <w:t>, D. E. (2009)</w:t>
      </w:r>
      <w:r w:rsidR="00E3169D" w:rsidRPr="00BF60F3">
        <w:rPr>
          <w:rFonts w:ascii="Times New Roman" w:hAnsi="Times New Roman" w:cs="Times New Roman"/>
          <w:sz w:val="24"/>
          <w:szCs w:val="24"/>
        </w:rPr>
        <w:t xml:space="preserve"> </w:t>
      </w:r>
      <w:r w:rsidR="00C6018C" w:rsidRPr="00BF60F3">
        <w:rPr>
          <w:rFonts w:ascii="Times New Roman" w:hAnsi="Times New Roman" w:cs="Times New Roman"/>
          <w:sz w:val="24"/>
          <w:szCs w:val="24"/>
        </w:rPr>
        <w:t>‘</w:t>
      </w:r>
      <w:r w:rsidR="00E3169D" w:rsidRPr="00BF60F3">
        <w:rPr>
          <w:rFonts w:ascii="Times New Roman" w:hAnsi="Times New Roman" w:cs="Times New Roman"/>
          <w:sz w:val="24"/>
          <w:szCs w:val="24"/>
        </w:rPr>
        <w:t xml:space="preserve">Student evaluations of teaching: Are they related to what students learn? </w:t>
      </w:r>
      <w:proofErr w:type="gramStart"/>
      <w:r w:rsidR="00E3169D" w:rsidRPr="00BF60F3">
        <w:rPr>
          <w:rFonts w:ascii="Times New Roman" w:hAnsi="Times New Roman" w:cs="Times New Roman"/>
          <w:sz w:val="24"/>
          <w:szCs w:val="24"/>
        </w:rPr>
        <w:t>A meta-analysis and review of the literature</w:t>
      </w:r>
      <w:r w:rsidR="00C6018C" w:rsidRPr="00BF60F3">
        <w:rPr>
          <w:rFonts w:ascii="Times New Roman" w:hAnsi="Times New Roman" w:cs="Times New Roman"/>
          <w:sz w:val="24"/>
          <w:szCs w:val="24"/>
        </w:rPr>
        <w:t>’</w:t>
      </w:r>
      <w:r w:rsidR="00E3169D" w:rsidRPr="00BF60F3">
        <w:rPr>
          <w:rFonts w:ascii="Times New Roman" w:hAnsi="Times New Roman" w:cs="Times New Roman"/>
          <w:sz w:val="24"/>
          <w:szCs w:val="24"/>
        </w:rPr>
        <w:t>.</w:t>
      </w:r>
      <w:proofErr w:type="gramEnd"/>
      <w:r w:rsidR="00E3169D" w:rsidRPr="00BF60F3">
        <w:rPr>
          <w:rFonts w:ascii="Times New Roman" w:hAnsi="Times New Roman" w:cs="Times New Roman"/>
          <w:sz w:val="24"/>
          <w:szCs w:val="24"/>
        </w:rPr>
        <w:t xml:space="preserve"> </w:t>
      </w:r>
      <w:proofErr w:type="gramStart"/>
      <w:r w:rsidR="00E3169D" w:rsidRPr="00BF60F3">
        <w:rPr>
          <w:rFonts w:ascii="Times New Roman" w:hAnsi="Times New Roman" w:cs="Times New Roman"/>
          <w:i/>
          <w:sz w:val="24"/>
          <w:szCs w:val="24"/>
        </w:rPr>
        <w:t>Journal of Marketing Education</w:t>
      </w:r>
      <w:r w:rsidRPr="00BF60F3">
        <w:rPr>
          <w:rFonts w:ascii="Times New Roman" w:hAnsi="Times New Roman" w:cs="Times New Roman"/>
          <w:sz w:val="24"/>
          <w:szCs w:val="24"/>
        </w:rPr>
        <w:t>.</w:t>
      </w:r>
      <w:proofErr w:type="gramEnd"/>
      <w:r w:rsidR="00E3169D" w:rsidRPr="00BF60F3">
        <w:rPr>
          <w:rFonts w:ascii="Times New Roman" w:hAnsi="Times New Roman" w:cs="Times New Roman"/>
          <w:sz w:val="24"/>
          <w:szCs w:val="24"/>
        </w:rPr>
        <w:t xml:space="preserve"> 31</w:t>
      </w:r>
      <w:r w:rsidRPr="00BF60F3">
        <w:rPr>
          <w:rFonts w:ascii="Times New Roman" w:hAnsi="Times New Roman" w:cs="Times New Roman"/>
          <w:sz w:val="24"/>
          <w:szCs w:val="24"/>
        </w:rPr>
        <w:t xml:space="preserve"> (1):</w:t>
      </w:r>
      <w:r w:rsidR="00E3169D" w:rsidRPr="00BF60F3">
        <w:rPr>
          <w:rFonts w:ascii="Times New Roman" w:hAnsi="Times New Roman" w:cs="Times New Roman"/>
          <w:sz w:val="24"/>
          <w:szCs w:val="24"/>
        </w:rPr>
        <w:t xml:space="preserve"> 16-30.</w:t>
      </w:r>
    </w:p>
    <w:p w:rsidR="00E46819" w:rsidRPr="00BF60F3" w:rsidRDefault="00E46819"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Clayson</w:t>
      </w:r>
      <w:proofErr w:type="spellEnd"/>
      <w:r w:rsidRPr="00BF60F3">
        <w:rPr>
          <w:rFonts w:ascii="Times New Roman" w:hAnsi="Times New Roman" w:cs="Times New Roman"/>
          <w:sz w:val="24"/>
          <w:szCs w:val="24"/>
        </w:rPr>
        <w:t>, D. E., and Haley, D. A. (2011) ‘</w:t>
      </w:r>
      <w:r w:rsidRPr="00BF60F3">
        <w:rPr>
          <w:rFonts w:ascii="Times New Roman" w:hAnsi="Times New Roman" w:cs="Times New Roman"/>
          <w:i/>
          <w:sz w:val="24"/>
          <w:szCs w:val="24"/>
        </w:rPr>
        <w:t xml:space="preserve">Are Students Telling Us the Truth? </w:t>
      </w:r>
      <w:proofErr w:type="gramStart"/>
      <w:r w:rsidRPr="00BF60F3">
        <w:rPr>
          <w:rFonts w:ascii="Times New Roman" w:hAnsi="Times New Roman" w:cs="Times New Roman"/>
          <w:i/>
          <w:sz w:val="24"/>
          <w:szCs w:val="24"/>
        </w:rPr>
        <w:t>A Critical Look at the Student Evaluation of Teaching</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Marketing Education Review</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21 (2): 101-112.</w:t>
      </w:r>
    </w:p>
    <w:p w:rsidR="0072478D" w:rsidRPr="00BF60F3" w:rsidRDefault="0072478D"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 xml:space="preserve">Cook-Sather, A. (2006) </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Sound, Presence, and Power: Explori</w:t>
      </w:r>
      <w:r w:rsidR="00C6018C" w:rsidRPr="00BF60F3">
        <w:rPr>
          <w:rFonts w:ascii="Times New Roman" w:hAnsi="Times New Roman" w:cs="Times New Roman"/>
          <w:sz w:val="24"/>
          <w:szCs w:val="24"/>
        </w:rPr>
        <w:t>ng “</w:t>
      </w:r>
      <w:r w:rsidRPr="00BF60F3">
        <w:rPr>
          <w:rFonts w:ascii="Times New Roman" w:hAnsi="Times New Roman" w:cs="Times New Roman"/>
          <w:sz w:val="24"/>
          <w:szCs w:val="24"/>
        </w:rPr>
        <w:t>Student Voice</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 xml:space="preserve"> in Educational Research and Reform</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Curriculum Inquiry</w:t>
      </w:r>
      <w:r w:rsidR="00977FDE" w:rsidRPr="00BF60F3">
        <w:rPr>
          <w:rFonts w:ascii="Times New Roman" w:hAnsi="Times New Roman" w:cs="Times New Roman"/>
          <w:i/>
          <w:sz w:val="24"/>
          <w:szCs w:val="24"/>
        </w:rPr>
        <w:t>.</w:t>
      </w:r>
      <w:proofErr w:type="gramEnd"/>
      <w:r w:rsidR="00977FDE" w:rsidRPr="00BF60F3">
        <w:rPr>
          <w:rFonts w:ascii="Times New Roman" w:hAnsi="Times New Roman" w:cs="Times New Roman"/>
          <w:sz w:val="24"/>
          <w:szCs w:val="24"/>
        </w:rPr>
        <w:t xml:space="preserve"> 36 (4):</w:t>
      </w:r>
      <w:r w:rsidRPr="00BF60F3">
        <w:rPr>
          <w:rFonts w:ascii="Times New Roman" w:hAnsi="Times New Roman" w:cs="Times New Roman"/>
          <w:sz w:val="24"/>
          <w:szCs w:val="24"/>
        </w:rPr>
        <w:t xml:space="preserve"> 359-390.</w:t>
      </w:r>
    </w:p>
    <w:p w:rsidR="00B233E7" w:rsidRPr="00BF60F3" w:rsidRDefault="00977FDE"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Emery, C. R., Kramer, T. R., and</w:t>
      </w:r>
      <w:r w:rsidR="00B233E7" w:rsidRPr="00BF60F3">
        <w:rPr>
          <w:rFonts w:ascii="Times New Roman" w:hAnsi="Times New Roman" w:cs="Times New Roman"/>
          <w:sz w:val="24"/>
          <w:szCs w:val="24"/>
        </w:rPr>
        <w:t xml:space="preserve"> </w:t>
      </w:r>
      <w:proofErr w:type="spellStart"/>
      <w:r w:rsidR="00B233E7" w:rsidRPr="00BF60F3">
        <w:rPr>
          <w:rFonts w:ascii="Times New Roman" w:hAnsi="Times New Roman" w:cs="Times New Roman"/>
          <w:sz w:val="24"/>
          <w:szCs w:val="24"/>
        </w:rPr>
        <w:t>Tian</w:t>
      </w:r>
      <w:proofErr w:type="spellEnd"/>
      <w:r w:rsidR="00B233E7" w:rsidRPr="00BF60F3">
        <w:rPr>
          <w:rFonts w:ascii="Times New Roman" w:hAnsi="Times New Roman" w:cs="Times New Roman"/>
          <w:sz w:val="24"/>
          <w:szCs w:val="24"/>
        </w:rPr>
        <w:t xml:space="preserve">, R. G. (2003) </w:t>
      </w:r>
      <w:r w:rsidR="00C6018C" w:rsidRPr="00BF60F3">
        <w:rPr>
          <w:rFonts w:ascii="Times New Roman" w:hAnsi="Times New Roman" w:cs="Times New Roman"/>
          <w:sz w:val="24"/>
          <w:szCs w:val="24"/>
        </w:rPr>
        <w:t>‘</w:t>
      </w:r>
      <w:r w:rsidR="00B233E7" w:rsidRPr="00BF60F3">
        <w:rPr>
          <w:rFonts w:ascii="Times New Roman" w:hAnsi="Times New Roman" w:cs="Times New Roman"/>
          <w:sz w:val="24"/>
          <w:szCs w:val="24"/>
        </w:rPr>
        <w:t>Return to academic standards: a critique of student evaluations of teaching effectiveness</w:t>
      </w:r>
      <w:r w:rsidR="00C6018C" w:rsidRPr="00BF60F3">
        <w:rPr>
          <w:rFonts w:ascii="Times New Roman" w:hAnsi="Times New Roman" w:cs="Times New Roman"/>
          <w:sz w:val="24"/>
          <w:szCs w:val="24"/>
        </w:rPr>
        <w:t>’</w:t>
      </w:r>
      <w:r w:rsidR="00B233E7" w:rsidRPr="00BF60F3">
        <w:rPr>
          <w:rFonts w:ascii="Times New Roman" w:hAnsi="Times New Roman" w:cs="Times New Roman"/>
          <w:sz w:val="24"/>
          <w:szCs w:val="24"/>
        </w:rPr>
        <w:t xml:space="preserve">. </w:t>
      </w:r>
      <w:proofErr w:type="gramStart"/>
      <w:r w:rsidR="00B233E7" w:rsidRPr="00BF60F3">
        <w:rPr>
          <w:rFonts w:ascii="Times New Roman" w:hAnsi="Times New Roman" w:cs="Times New Roman"/>
          <w:i/>
          <w:sz w:val="24"/>
          <w:szCs w:val="24"/>
        </w:rPr>
        <w:t>Quality Assurance in Education</w:t>
      </w:r>
      <w:r w:rsidRPr="00BF60F3">
        <w:rPr>
          <w:rFonts w:ascii="Times New Roman" w:hAnsi="Times New Roman" w:cs="Times New Roman"/>
          <w:sz w:val="24"/>
          <w:szCs w:val="24"/>
        </w:rPr>
        <w:t>.</w:t>
      </w:r>
      <w:proofErr w:type="gramEnd"/>
      <w:r w:rsidR="00B233E7" w:rsidRPr="00BF60F3">
        <w:rPr>
          <w:rFonts w:ascii="Times New Roman" w:hAnsi="Times New Roman" w:cs="Times New Roman"/>
          <w:sz w:val="24"/>
          <w:szCs w:val="24"/>
        </w:rPr>
        <w:t xml:space="preserve"> 11</w:t>
      </w:r>
      <w:r w:rsidRPr="00BF60F3">
        <w:rPr>
          <w:rFonts w:ascii="Times New Roman" w:hAnsi="Times New Roman" w:cs="Times New Roman"/>
          <w:sz w:val="24"/>
          <w:szCs w:val="24"/>
        </w:rPr>
        <w:t xml:space="preserve"> (1):</w:t>
      </w:r>
      <w:r w:rsidR="00B233E7" w:rsidRPr="00BF60F3">
        <w:rPr>
          <w:rFonts w:ascii="Times New Roman" w:hAnsi="Times New Roman" w:cs="Times New Roman"/>
          <w:sz w:val="24"/>
          <w:szCs w:val="24"/>
        </w:rPr>
        <w:t xml:space="preserve"> 37-46.</w:t>
      </w:r>
    </w:p>
    <w:p w:rsidR="00A0136F" w:rsidRPr="00BF60F3" w:rsidRDefault="00A0136F"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lastRenderedPageBreak/>
        <w:t xml:space="preserve">Forsyth, D., Story, P., Kelley, K., and McMillan, J. (2009) ‘What causes failure and success? </w:t>
      </w:r>
      <w:proofErr w:type="gramStart"/>
      <w:r w:rsidRPr="00BF60F3">
        <w:rPr>
          <w:rFonts w:ascii="Times New Roman" w:hAnsi="Times New Roman" w:cs="Times New Roman"/>
          <w:sz w:val="24"/>
          <w:szCs w:val="24"/>
        </w:rPr>
        <w:t>Students’ perceptions of their academic outcomes’.</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Social Psychology of Education</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12</w:t>
      </w:r>
      <w:r w:rsidR="004C7AB9" w:rsidRPr="00BF60F3">
        <w:rPr>
          <w:rFonts w:ascii="Times New Roman" w:hAnsi="Times New Roman" w:cs="Times New Roman"/>
          <w:sz w:val="24"/>
          <w:szCs w:val="24"/>
        </w:rPr>
        <w:t xml:space="preserve"> </w:t>
      </w:r>
      <w:r w:rsidRPr="00BF60F3">
        <w:rPr>
          <w:rFonts w:ascii="Times New Roman" w:hAnsi="Times New Roman" w:cs="Times New Roman"/>
          <w:sz w:val="24"/>
          <w:szCs w:val="24"/>
        </w:rPr>
        <w:t>(2): 157-174.</w:t>
      </w:r>
    </w:p>
    <w:p w:rsidR="000647A5" w:rsidRPr="00BF60F3" w:rsidRDefault="00977FDE"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 xml:space="preserve">Foster, G. (2010) </w:t>
      </w:r>
      <w:r w:rsidR="00C6018C" w:rsidRPr="00BF60F3">
        <w:rPr>
          <w:rFonts w:ascii="Times New Roman" w:hAnsi="Times New Roman" w:cs="Times New Roman"/>
          <w:sz w:val="24"/>
          <w:szCs w:val="24"/>
        </w:rPr>
        <w:t>‘</w:t>
      </w:r>
      <w:r w:rsidR="000647A5" w:rsidRPr="00BF60F3">
        <w:rPr>
          <w:rFonts w:ascii="Times New Roman" w:hAnsi="Times New Roman" w:cs="Times New Roman"/>
          <w:sz w:val="24"/>
          <w:szCs w:val="24"/>
        </w:rPr>
        <w:t>Teacher effects on student attrition and performance in mass-market tertiary education</w:t>
      </w:r>
      <w:r w:rsidR="00C6018C" w:rsidRPr="00BF60F3">
        <w:rPr>
          <w:rFonts w:ascii="Times New Roman" w:hAnsi="Times New Roman" w:cs="Times New Roman"/>
          <w:sz w:val="24"/>
          <w:szCs w:val="24"/>
        </w:rPr>
        <w:t>’</w:t>
      </w:r>
      <w:r w:rsidR="000647A5" w:rsidRPr="00BF60F3">
        <w:rPr>
          <w:rFonts w:ascii="Times New Roman" w:hAnsi="Times New Roman" w:cs="Times New Roman"/>
          <w:sz w:val="24"/>
          <w:szCs w:val="24"/>
        </w:rPr>
        <w:t xml:space="preserve">. </w:t>
      </w:r>
      <w:proofErr w:type="gramStart"/>
      <w:r w:rsidR="000647A5" w:rsidRPr="00BF60F3">
        <w:rPr>
          <w:rFonts w:ascii="Times New Roman" w:hAnsi="Times New Roman" w:cs="Times New Roman"/>
          <w:i/>
          <w:sz w:val="24"/>
          <w:szCs w:val="24"/>
        </w:rPr>
        <w:t>Higher Education</w:t>
      </w:r>
      <w:r w:rsidRPr="00BF60F3">
        <w:rPr>
          <w:rFonts w:ascii="Times New Roman" w:hAnsi="Times New Roman" w:cs="Times New Roman"/>
          <w:i/>
          <w:sz w:val="24"/>
          <w:szCs w:val="24"/>
        </w:rPr>
        <w:t>.</w:t>
      </w:r>
      <w:proofErr w:type="gramEnd"/>
      <w:r w:rsidRPr="00BF60F3">
        <w:rPr>
          <w:rFonts w:ascii="Times New Roman" w:hAnsi="Times New Roman" w:cs="Times New Roman"/>
          <w:sz w:val="24"/>
          <w:szCs w:val="24"/>
        </w:rPr>
        <w:t xml:space="preserve"> 60</w:t>
      </w:r>
      <w:r w:rsidR="004C7AB9" w:rsidRPr="00BF60F3">
        <w:rPr>
          <w:rFonts w:ascii="Times New Roman" w:hAnsi="Times New Roman" w:cs="Times New Roman"/>
          <w:sz w:val="24"/>
          <w:szCs w:val="24"/>
        </w:rPr>
        <w:t xml:space="preserve"> (3)</w:t>
      </w:r>
      <w:r w:rsidRPr="00BF60F3">
        <w:rPr>
          <w:rFonts w:ascii="Times New Roman" w:hAnsi="Times New Roman" w:cs="Times New Roman"/>
          <w:sz w:val="24"/>
          <w:szCs w:val="24"/>
        </w:rPr>
        <w:t xml:space="preserve">: </w:t>
      </w:r>
      <w:r w:rsidR="000647A5" w:rsidRPr="00BF60F3">
        <w:rPr>
          <w:rFonts w:ascii="Times New Roman" w:hAnsi="Times New Roman" w:cs="Times New Roman"/>
          <w:sz w:val="24"/>
          <w:szCs w:val="24"/>
        </w:rPr>
        <w:t>301-319.</w:t>
      </w:r>
    </w:p>
    <w:p w:rsidR="00C22F59" w:rsidRPr="00BF60F3" w:rsidRDefault="00C22F59"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 xml:space="preserve">Freeman, H. R. (1994) ‘Student evaluations of college instructors: Effects of type of course taught, instructor gender and gender role, and student gender’. </w:t>
      </w:r>
      <w:proofErr w:type="gramStart"/>
      <w:r w:rsidRPr="00BF60F3">
        <w:rPr>
          <w:rFonts w:ascii="Times New Roman" w:hAnsi="Times New Roman" w:cs="Times New Roman"/>
          <w:i/>
          <w:sz w:val="24"/>
          <w:szCs w:val="24"/>
        </w:rPr>
        <w:t>Journal of Educational Psychology</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sz w:val="24"/>
          <w:szCs w:val="24"/>
        </w:rPr>
        <w:t>86 (4): 627-630.</w:t>
      </w:r>
      <w:proofErr w:type="gramEnd"/>
    </w:p>
    <w:p w:rsidR="002E5A7F" w:rsidRPr="00BF60F3" w:rsidRDefault="002E5A7F"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Giorgi</w:t>
      </w:r>
      <w:proofErr w:type="spellEnd"/>
      <w:r w:rsidRPr="00BF60F3">
        <w:rPr>
          <w:rFonts w:ascii="Times New Roman" w:hAnsi="Times New Roman" w:cs="Times New Roman"/>
          <w:sz w:val="24"/>
          <w:szCs w:val="24"/>
        </w:rPr>
        <w:t xml:space="preserve">, A. (1994). </w:t>
      </w:r>
      <w:proofErr w:type="gramStart"/>
      <w:r w:rsidRPr="00BF60F3">
        <w:rPr>
          <w:rFonts w:ascii="Times New Roman" w:hAnsi="Times New Roman" w:cs="Times New Roman"/>
          <w:sz w:val="24"/>
          <w:szCs w:val="24"/>
        </w:rPr>
        <w:t>‘A phenomenological perspective on certain qualitative research methods’.</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Journal of Phenomenological Psychology</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25 (2): 190-220. </w:t>
      </w:r>
    </w:p>
    <w:p w:rsidR="000647A5" w:rsidRPr="00BF60F3" w:rsidRDefault="00977FDE"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Good, T. and</w:t>
      </w:r>
      <w:r w:rsidR="000647A5" w:rsidRPr="00BF60F3">
        <w:rPr>
          <w:rFonts w:ascii="Times New Roman" w:hAnsi="Times New Roman" w:cs="Times New Roman"/>
          <w:sz w:val="24"/>
          <w:szCs w:val="24"/>
        </w:rPr>
        <w:t xml:space="preserve"> </w:t>
      </w:r>
      <w:proofErr w:type="spellStart"/>
      <w:r w:rsidR="000647A5" w:rsidRPr="00BF60F3">
        <w:rPr>
          <w:rFonts w:ascii="Times New Roman" w:hAnsi="Times New Roman" w:cs="Times New Roman"/>
          <w:sz w:val="24"/>
          <w:szCs w:val="24"/>
        </w:rPr>
        <w:t>Brophy</w:t>
      </w:r>
      <w:proofErr w:type="spellEnd"/>
      <w:r w:rsidR="000647A5" w:rsidRPr="00BF60F3">
        <w:rPr>
          <w:rFonts w:ascii="Times New Roman" w:hAnsi="Times New Roman" w:cs="Times New Roman"/>
          <w:sz w:val="24"/>
          <w:szCs w:val="24"/>
        </w:rPr>
        <w:t xml:space="preserve">, J. (2003) </w:t>
      </w:r>
      <w:r w:rsidR="000647A5" w:rsidRPr="00BF60F3">
        <w:rPr>
          <w:rFonts w:ascii="Times New Roman" w:hAnsi="Times New Roman" w:cs="Times New Roman"/>
          <w:i/>
          <w:sz w:val="24"/>
          <w:szCs w:val="24"/>
        </w:rPr>
        <w:t>Looking in classrooms</w:t>
      </w:r>
      <w:r w:rsidR="000647A5" w:rsidRPr="00BF60F3">
        <w:rPr>
          <w:rFonts w:ascii="Times New Roman" w:hAnsi="Times New Roman" w:cs="Times New Roman"/>
          <w:sz w:val="24"/>
          <w:szCs w:val="24"/>
        </w:rPr>
        <w:t>, 9th Edition. New York: Macmillan.</w:t>
      </w:r>
    </w:p>
    <w:p w:rsidR="006C21CE" w:rsidRPr="00BF60F3" w:rsidRDefault="006C21CE"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Greenwald, A.</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 xml:space="preserve">G. (2002) </w:t>
      </w:r>
      <w:proofErr w:type="gramStart"/>
      <w:r w:rsidRPr="00BF60F3">
        <w:rPr>
          <w:rFonts w:ascii="Times New Roman" w:hAnsi="Times New Roman" w:cs="Times New Roman"/>
          <w:sz w:val="24"/>
          <w:szCs w:val="24"/>
        </w:rPr>
        <w:t>Constructs</w:t>
      </w:r>
      <w:proofErr w:type="gramEnd"/>
      <w:r w:rsidRPr="00BF60F3">
        <w:rPr>
          <w:rFonts w:ascii="Times New Roman" w:hAnsi="Times New Roman" w:cs="Times New Roman"/>
          <w:sz w:val="24"/>
          <w:szCs w:val="24"/>
        </w:rPr>
        <w:t xml:space="preserve"> in student</w:t>
      </w:r>
      <w:r w:rsidR="00977FDE" w:rsidRPr="00BF60F3">
        <w:rPr>
          <w:rFonts w:ascii="Times New Roman" w:hAnsi="Times New Roman" w:cs="Times New Roman"/>
          <w:sz w:val="24"/>
          <w:szCs w:val="24"/>
        </w:rPr>
        <w:t xml:space="preserve"> ratings of instructors. In </w:t>
      </w:r>
      <w:r w:rsidRPr="00BF60F3">
        <w:rPr>
          <w:rFonts w:ascii="Times New Roman" w:hAnsi="Times New Roman" w:cs="Times New Roman"/>
          <w:sz w:val="24"/>
          <w:szCs w:val="24"/>
        </w:rPr>
        <w:t xml:space="preserve">Braun, </w:t>
      </w:r>
      <w:r w:rsidR="00977FDE" w:rsidRPr="00BF60F3">
        <w:rPr>
          <w:rFonts w:ascii="Times New Roman" w:hAnsi="Times New Roman" w:cs="Times New Roman"/>
          <w:sz w:val="24"/>
          <w:szCs w:val="24"/>
        </w:rPr>
        <w:t xml:space="preserve">H. I., </w:t>
      </w:r>
      <w:r w:rsidRPr="00BF60F3">
        <w:rPr>
          <w:rFonts w:ascii="Times New Roman" w:hAnsi="Times New Roman" w:cs="Times New Roman"/>
          <w:sz w:val="24"/>
          <w:szCs w:val="24"/>
        </w:rPr>
        <w:t>Jackson,</w:t>
      </w:r>
      <w:r w:rsidR="00977FDE" w:rsidRPr="00BF60F3">
        <w:rPr>
          <w:rFonts w:ascii="Times New Roman" w:hAnsi="Times New Roman" w:cs="Times New Roman"/>
          <w:sz w:val="24"/>
          <w:szCs w:val="24"/>
        </w:rPr>
        <w:t xml:space="preserve"> D. N.</w:t>
      </w:r>
      <w:r w:rsidR="00C6018C" w:rsidRPr="00BF60F3">
        <w:rPr>
          <w:rFonts w:ascii="Times New Roman" w:hAnsi="Times New Roman" w:cs="Times New Roman"/>
          <w:sz w:val="24"/>
          <w:szCs w:val="24"/>
        </w:rPr>
        <w:t xml:space="preserve"> and </w:t>
      </w:r>
      <w:r w:rsidRPr="00BF60F3">
        <w:rPr>
          <w:rFonts w:ascii="Times New Roman" w:hAnsi="Times New Roman" w:cs="Times New Roman"/>
          <w:sz w:val="24"/>
          <w:szCs w:val="24"/>
        </w:rPr>
        <w:t>Wiley</w:t>
      </w:r>
      <w:r w:rsidR="00C6018C" w:rsidRPr="00BF60F3">
        <w:rPr>
          <w:rFonts w:ascii="Times New Roman" w:hAnsi="Times New Roman" w:cs="Times New Roman"/>
          <w:sz w:val="24"/>
          <w:szCs w:val="24"/>
        </w:rPr>
        <w:t>, D. E. (</w:t>
      </w:r>
      <w:proofErr w:type="spellStart"/>
      <w:proofErr w:type="gramStart"/>
      <w:r w:rsidR="00C6018C" w:rsidRPr="00BF60F3">
        <w:rPr>
          <w:rFonts w:ascii="Times New Roman" w:hAnsi="Times New Roman" w:cs="Times New Roman"/>
          <w:sz w:val="24"/>
          <w:szCs w:val="24"/>
        </w:rPr>
        <w:t>e</w:t>
      </w:r>
      <w:r w:rsidRPr="00BF60F3">
        <w:rPr>
          <w:rFonts w:ascii="Times New Roman" w:hAnsi="Times New Roman" w:cs="Times New Roman"/>
          <w:sz w:val="24"/>
          <w:szCs w:val="24"/>
        </w:rPr>
        <w:t>ds</w:t>
      </w:r>
      <w:proofErr w:type="spellEnd"/>
      <w:proofErr w:type="gramEnd"/>
      <w:r w:rsidRPr="00BF60F3">
        <w:rPr>
          <w:rFonts w:ascii="Times New Roman" w:hAnsi="Times New Roman" w:cs="Times New Roman"/>
          <w:sz w:val="24"/>
          <w:szCs w:val="24"/>
        </w:rPr>
        <w:t xml:space="preserve">) </w:t>
      </w:r>
      <w:r w:rsidRPr="00BF60F3">
        <w:rPr>
          <w:rFonts w:ascii="Times New Roman" w:hAnsi="Times New Roman" w:cs="Times New Roman"/>
          <w:i/>
          <w:sz w:val="24"/>
          <w:szCs w:val="24"/>
        </w:rPr>
        <w:t>The role of constructs in psychological and educational measurement</w:t>
      </w:r>
      <w:r w:rsidRPr="00BF60F3">
        <w:rPr>
          <w:rFonts w:ascii="Times New Roman" w:hAnsi="Times New Roman" w:cs="Times New Roman"/>
          <w:sz w:val="24"/>
          <w:szCs w:val="24"/>
        </w:rPr>
        <w:t>. New York: Erlbaum.</w:t>
      </w:r>
    </w:p>
    <w:p w:rsidR="000647A5" w:rsidRPr="00BF60F3" w:rsidRDefault="000647A5"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Haynes Stewart, T.</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L, Clifton, R.</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A., Daniels, L.</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M., Perry, R.</w:t>
      </w:r>
      <w:r w:rsidR="00977FDE" w:rsidRPr="00BF60F3">
        <w:rPr>
          <w:rFonts w:ascii="Times New Roman" w:hAnsi="Times New Roman" w:cs="Times New Roman"/>
          <w:sz w:val="24"/>
          <w:szCs w:val="24"/>
        </w:rPr>
        <w:t xml:space="preserve"> </w:t>
      </w:r>
      <w:r w:rsidR="009B363F" w:rsidRPr="00BF60F3">
        <w:rPr>
          <w:rFonts w:ascii="Times New Roman" w:hAnsi="Times New Roman" w:cs="Times New Roman"/>
          <w:sz w:val="24"/>
          <w:szCs w:val="24"/>
        </w:rPr>
        <w:t xml:space="preserve">P., </w:t>
      </w:r>
      <w:proofErr w:type="spellStart"/>
      <w:r w:rsidR="009B363F" w:rsidRPr="00BF60F3">
        <w:rPr>
          <w:rFonts w:ascii="Times New Roman" w:hAnsi="Times New Roman" w:cs="Times New Roman"/>
          <w:sz w:val="24"/>
          <w:szCs w:val="24"/>
        </w:rPr>
        <w:t>Chipperfie</w:t>
      </w:r>
      <w:r w:rsidRPr="00BF60F3">
        <w:rPr>
          <w:rFonts w:ascii="Times New Roman" w:hAnsi="Times New Roman" w:cs="Times New Roman"/>
          <w:sz w:val="24"/>
          <w:szCs w:val="24"/>
        </w:rPr>
        <w:t>ld</w:t>
      </w:r>
      <w:proofErr w:type="spellEnd"/>
      <w:r w:rsidRPr="00BF60F3">
        <w:rPr>
          <w:rFonts w:ascii="Times New Roman" w:hAnsi="Times New Roman" w:cs="Times New Roman"/>
          <w:sz w:val="24"/>
          <w:szCs w:val="24"/>
        </w:rPr>
        <w:t>, J.</w:t>
      </w:r>
      <w:r w:rsidR="00977FDE" w:rsidRPr="00BF60F3">
        <w:rPr>
          <w:rFonts w:ascii="Times New Roman" w:hAnsi="Times New Roman" w:cs="Times New Roman"/>
          <w:sz w:val="24"/>
          <w:szCs w:val="24"/>
        </w:rPr>
        <w:t xml:space="preserve"> G. and</w:t>
      </w:r>
      <w:r w:rsidRPr="00BF60F3">
        <w:rPr>
          <w:rFonts w:ascii="Times New Roman" w:hAnsi="Times New Roman" w:cs="Times New Roman"/>
          <w:sz w:val="24"/>
          <w:szCs w:val="24"/>
        </w:rPr>
        <w:t xml:space="preserve"> </w:t>
      </w:r>
      <w:proofErr w:type="spellStart"/>
      <w:r w:rsidRPr="00BF60F3">
        <w:rPr>
          <w:rFonts w:ascii="Times New Roman" w:hAnsi="Times New Roman" w:cs="Times New Roman"/>
          <w:sz w:val="24"/>
          <w:szCs w:val="24"/>
        </w:rPr>
        <w:t>Ruthig</w:t>
      </w:r>
      <w:proofErr w:type="spellEnd"/>
      <w:r w:rsidRPr="00BF60F3">
        <w:rPr>
          <w:rFonts w:ascii="Times New Roman" w:hAnsi="Times New Roman" w:cs="Times New Roman"/>
          <w:sz w:val="24"/>
          <w:szCs w:val="24"/>
        </w:rPr>
        <w:t>, J.</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 xml:space="preserve">C. (2011) </w:t>
      </w:r>
      <w:r w:rsidR="00C6018C" w:rsidRPr="00BF60F3">
        <w:rPr>
          <w:rFonts w:ascii="Times New Roman" w:hAnsi="Times New Roman" w:cs="Times New Roman"/>
          <w:sz w:val="24"/>
          <w:szCs w:val="24"/>
        </w:rPr>
        <w:t>‘</w:t>
      </w:r>
      <w:proofErr w:type="spellStart"/>
      <w:r w:rsidRPr="00BF60F3">
        <w:rPr>
          <w:rFonts w:ascii="Times New Roman" w:hAnsi="Times New Roman" w:cs="Times New Roman"/>
          <w:sz w:val="24"/>
          <w:szCs w:val="24"/>
        </w:rPr>
        <w:t>Attributional</w:t>
      </w:r>
      <w:proofErr w:type="spellEnd"/>
      <w:r w:rsidRPr="00BF60F3">
        <w:rPr>
          <w:rFonts w:ascii="Times New Roman" w:hAnsi="Times New Roman" w:cs="Times New Roman"/>
          <w:sz w:val="24"/>
          <w:szCs w:val="24"/>
        </w:rPr>
        <w:t xml:space="preserve"> retraining: reducing the likelihood of failure</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Journal of Social and Clinical Psychology</w:t>
      </w:r>
      <w:r w:rsidR="00977FDE" w:rsidRPr="00BF60F3">
        <w:rPr>
          <w:rFonts w:ascii="Times New Roman" w:hAnsi="Times New Roman" w:cs="Times New Roman"/>
          <w:i/>
          <w:sz w:val="24"/>
          <w:szCs w:val="24"/>
        </w:rPr>
        <w:t>.</w:t>
      </w:r>
      <w:proofErr w:type="gramEnd"/>
      <w:r w:rsidRPr="00BF60F3">
        <w:rPr>
          <w:rFonts w:ascii="Times New Roman" w:hAnsi="Times New Roman" w:cs="Times New Roman"/>
          <w:sz w:val="24"/>
          <w:szCs w:val="24"/>
        </w:rPr>
        <w:t xml:space="preserve"> 14</w:t>
      </w:r>
      <w:r w:rsidR="004C7AB9" w:rsidRPr="00BF60F3">
        <w:rPr>
          <w:rFonts w:ascii="Times New Roman" w:hAnsi="Times New Roman" w:cs="Times New Roman"/>
          <w:sz w:val="24"/>
          <w:szCs w:val="24"/>
        </w:rPr>
        <w:t xml:space="preserve"> (1)</w:t>
      </w:r>
      <w:r w:rsidR="00977FDE" w:rsidRPr="00BF60F3">
        <w:rPr>
          <w:rFonts w:ascii="Times New Roman" w:hAnsi="Times New Roman" w:cs="Times New Roman"/>
          <w:sz w:val="24"/>
          <w:szCs w:val="24"/>
        </w:rPr>
        <w:t>:</w:t>
      </w:r>
      <w:r w:rsidRPr="00BF60F3">
        <w:rPr>
          <w:rFonts w:ascii="Times New Roman" w:hAnsi="Times New Roman" w:cs="Times New Roman"/>
          <w:sz w:val="24"/>
          <w:szCs w:val="24"/>
        </w:rPr>
        <w:t xml:space="preserve"> 75-92.</w:t>
      </w:r>
    </w:p>
    <w:p w:rsidR="006C21CE" w:rsidRPr="00BF60F3" w:rsidRDefault="006C21CE"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Hellman, C.</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 xml:space="preserve">M. (1998) </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Faculty evaluation by students: a comparison between full-time and adj</w:t>
      </w:r>
      <w:r w:rsidR="00977FDE" w:rsidRPr="00BF60F3">
        <w:rPr>
          <w:rFonts w:ascii="Times New Roman" w:hAnsi="Times New Roman" w:cs="Times New Roman"/>
          <w:sz w:val="24"/>
          <w:szCs w:val="24"/>
        </w:rPr>
        <w:t>unct faculty</w:t>
      </w:r>
      <w:r w:rsidR="00C6018C" w:rsidRPr="00BF60F3">
        <w:rPr>
          <w:rFonts w:ascii="Times New Roman" w:hAnsi="Times New Roman" w:cs="Times New Roman"/>
          <w:sz w:val="24"/>
          <w:szCs w:val="24"/>
        </w:rPr>
        <w:t>’</w:t>
      </w:r>
      <w:r w:rsidR="00977FDE" w:rsidRPr="00BF60F3">
        <w:rPr>
          <w:rFonts w:ascii="Times New Roman" w:hAnsi="Times New Roman" w:cs="Times New Roman"/>
          <w:sz w:val="24"/>
          <w:szCs w:val="24"/>
        </w:rPr>
        <w:t>.</w:t>
      </w:r>
      <w:r w:rsidRPr="00BF60F3">
        <w:rPr>
          <w:rFonts w:ascii="Times New Roman" w:hAnsi="Times New Roman" w:cs="Times New Roman"/>
          <w:sz w:val="24"/>
          <w:szCs w:val="24"/>
        </w:rPr>
        <w:t xml:space="preserve"> </w:t>
      </w:r>
      <w:r w:rsidRPr="00BF60F3">
        <w:rPr>
          <w:rFonts w:ascii="Times New Roman" w:hAnsi="Times New Roman" w:cs="Times New Roman"/>
          <w:i/>
          <w:sz w:val="24"/>
          <w:szCs w:val="24"/>
        </w:rPr>
        <w:t>Journal of Applied Research in the Community College</w:t>
      </w:r>
      <w:r w:rsidR="00977FDE" w:rsidRPr="00BF60F3">
        <w:rPr>
          <w:rFonts w:ascii="Times New Roman" w:hAnsi="Times New Roman" w:cs="Times New Roman"/>
          <w:sz w:val="24"/>
          <w:szCs w:val="24"/>
        </w:rPr>
        <w:t>.</w:t>
      </w:r>
      <w:r w:rsidRPr="00BF60F3">
        <w:rPr>
          <w:rFonts w:ascii="Times New Roman" w:hAnsi="Times New Roman" w:cs="Times New Roman"/>
          <w:sz w:val="24"/>
          <w:szCs w:val="24"/>
        </w:rPr>
        <w:t xml:space="preserve"> 6</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(1)</w:t>
      </w:r>
      <w:r w:rsidR="00977FDE" w:rsidRPr="00BF60F3">
        <w:rPr>
          <w:rFonts w:ascii="Times New Roman" w:hAnsi="Times New Roman" w:cs="Times New Roman"/>
          <w:sz w:val="24"/>
          <w:szCs w:val="24"/>
        </w:rPr>
        <w:t>:</w:t>
      </w:r>
      <w:r w:rsidRPr="00BF60F3">
        <w:rPr>
          <w:rFonts w:ascii="Times New Roman" w:hAnsi="Times New Roman" w:cs="Times New Roman"/>
          <w:sz w:val="24"/>
          <w:szCs w:val="24"/>
        </w:rPr>
        <w:t xml:space="preserve"> 45-50</w:t>
      </w:r>
      <w:r w:rsidR="004C7AB9" w:rsidRPr="00BF60F3">
        <w:rPr>
          <w:rFonts w:ascii="Times New Roman" w:hAnsi="Times New Roman" w:cs="Times New Roman"/>
          <w:sz w:val="24"/>
          <w:szCs w:val="24"/>
        </w:rPr>
        <w:t>.</w:t>
      </w:r>
    </w:p>
    <w:p w:rsidR="000647A5" w:rsidRPr="00BF60F3" w:rsidRDefault="000647A5" w:rsidP="00E36EE2">
      <w:pPr>
        <w:spacing w:line="240" w:lineRule="auto"/>
        <w:rPr>
          <w:rFonts w:ascii="Times New Roman" w:hAnsi="Times New Roman" w:cs="Times New Roman"/>
          <w:sz w:val="24"/>
          <w:szCs w:val="24"/>
        </w:rPr>
      </w:pPr>
      <w:proofErr w:type="spellStart"/>
      <w:proofErr w:type="gramStart"/>
      <w:r w:rsidRPr="00BF60F3">
        <w:rPr>
          <w:rFonts w:ascii="Times New Roman" w:hAnsi="Times New Roman" w:cs="Times New Roman"/>
          <w:sz w:val="24"/>
          <w:szCs w:val="24"/>
        </w:rPr>
        <w:t>Kember</w:t>
      </w:r>
      <w:proofErr w:type="spellEnd"/>
      <w:r w:rsidRPr="00BF60F3">
        <w:rPr>
          <w:rFonts w:ascii="Times New Roman" w:hAnsi="Times New Roman" w:cs="Times New Roman"/>
          <w:sz w:val="24"/>
          <w:szCs w:val="24"/>
        </w:rPr>
        <w:t xml:space="preserve">, D. (1997) </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A reconceptualization of the research into university academics’ conceptions of teaching</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Learning Instruction</w:t>
      </w:r>
      <w:r w:rsidR="00977FDE" w:rsidRPr="00BF60F3">
        <w:rPr>
          <w:rFonts w:ascii="Times New Roman" w:hAnsi="Times New Roman" w:cs="Times New Roman"/>
          <w:i/>
          <w:sz w:val="24"/>
          <w:szCs w:val="24"/>
        </w:rPr>
        <w:t>.</w:t>
      </w:r>
      <w:proofErr w:type="gramEnd"/>
      <w:r w:rsidRPr="00BF60F3">
        <w:rPr>
          <w:rFonts w:ascii="Times New Roman" w:hAnsi="Times New Roman" w:cs="Times New Roman"/>
          <w:sz w:val="24"/>
          <w:szCs w:val="24"/>
        </w:rPr>
        <w:t xml:space="preserve"> 7</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(3)</w:t>
      </w:r>
      <w:r w:rsidR="00977FDE" w:rsidRPr="00BF60F3">
        <w:rPr>
          <w:rFonts w:ascii="Times New Roman" w:hAnsi="Times New Roman" w:cs="Times New Roman"/>
          <w:sz w:val="24"/>
          <w:szCs w:val="24"/>
        </w:rPr>
        <w:t>:</w:t>
      </w:r>
      <w:r w:rsidRPr="00BF60F3">
        <w:rPr>
          <w:rFonts w:ascii="Times New Roman" w:hAnsi="Times New Roman" w:cs="Times New Roman"/>
          <w:sz w:val="24"/>
          <w:szCs w:val="24"/>
        </w:rPr>
        <w:t xml:space="preserve"> 255-275.</w:t>
      </w:r>
    </w:p>
    <w:p w:rsidR="000647A5" w:rsidRPr="00BF60F3" w:rsidRDefault="000647A5"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Kember</w:t>
      </w:r>
      <w:proofErr w:type="spellEnd"/>
      <w:r w:rsidRPr="00BF60F3">
        <w:rPr>
          <w:rFonts w:ascii="Times New Roman" w:hAnsi="Times New Roman" w:cs="Times New Roman"/>
          <w:sz w:val="24"/>
          <w:szCs w:val="24"/>
        </w:rPr>
        <w:t xml:space="preserve">, D. (2000) </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Misconceptions about the learning approaches: Motivation and study practices of Asian students</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 xml:space="preserve">. </w:t>
      </w:r>
      <w:proofErr w:type="gramStart"/>
      <w:r w:rsidR="00977FDE" w:rsidRPr="00BF60F3">
        <w:rPr>
          <w:rFonts w:ascii="Times New Roman" w:hAnsi="Times New Roman" w:cs="Times New Roman"/>
          <w:i/>
          <w:sz w:val="24"/>
          <w:szCs w:val="24"/>
        </w:rPr>
        <w:t>Higher E</w:t>
      </w:r>
      <w:r w:rsidRPr="00BF60F3">
        <w:rPr>
          <w:rFonts w:ascii="Times New Roman" w:hAnsi="Times New Roman" w:cs="Times New Roman"/>
          <w:i/>
          <w:sz w:val="24"/>
          <w:szCs w:val="24"/>
        </w:rPr>
        <w:t>ducation</w:t>
      </w:r>
      <w:r w:rsidR="00977FDE" w:rsidRPr="00BF60F3">
        <w:rPr>
          <w:rFonts w:ascii="Times New Roman" w:hAnsi="Times New Roman" w:cs="Times New Roman"/>
          <w:i/>
          <w:sz w:val="24"/>
          <w:szCs w:val="24"/>
        </w:rPr>
        <w:t>.</w:t>
      </w:r>
      <w:proofErr w:type="gramEnd"/>
      <w:r w:rsidRPr="00BF60F3">
        <w:rPr>
          <w:rFonts w:ascii="Times New Roman" w:hAnsi="Times New Roman" w:cs="Times New Roman"/>
          <w:sz w:val="24"/>
          <w:szCs w:val="24"/>
        </w:rPr>
        <w:t xml:space="preserve"> 40</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(1)</w:t>
      </w:r>
      <w:r w:rsidR="00977FDE" w:rsidRPr="00BF60F3">
        <w:rPr>
          <w:rFonts w:ascii="Times New Roman" w:hAnsi="Times New Roman" w:cs="Times New Roman"/>
          <w:sz w:val="24"/>
          <w:szCs w:val="24"/>
        </w:rPr>
        <w:t>:</w:t>
      </w:r>
      <w:r w:rsidRPr="00BF60F3">
        <w:rPr>
          <w:rFonts w:ascii="Times New Roman" w:hAnsi="Times New Roman" w:cs="Times New Roman"/>
          <w:sz w:val="24"/>
          <w:szCs w:val="24"/>
        </w:rPr>
        <w:t xml:space="preserve"> 99-121.</w:t>
      </w:r>
    </w:p>
    <w:p w:rsidR="000647A5" w:rsidRPr="00BF60F3" w:rsidRDefault="000647A5" w:rsidP="00E36EE2">
      <w:pPr>
        <w:spacing w:line="240" w:lineRule="auto"/>
        <w:rPr>
          <w:rFonts w:ascii="Times New Roman" w:hAnsi="Times New Roman" w:cs="Times New Roman"/>
          <w:sz w:val="24"/>
          <w:szCs w:val="24"/>
        </w:rPr>
      </w:pPr>
      <w:proofErr w:type="spellStart"/>
      <w:proofErr w:type="gramStart"/>
      <w:r w:rsidRPr="00BF60F3">
        <w:rPr>
          <w:rFonts w:ascii="Times New Roman" w:hAnsi="Times New Roman" w:cs="Times New Roman"/>
          <w:sz w:val="24"/>
          <w:szCs w:val="24"/>
        </w:rPr>
        <w:t>Kerlinger</w:t>
      </w:r>
      <w:proofErr w:type="spellEnd"/>
      <w:r w:rsidRPr="00BF60F3">
        <w:rPr>
          <w:rFonts w:ascii="Times New Roman" w:hAnsi="Times New Roman" w:cs="Times New Roman"/>
          <w:sz w:val="24"/>
          <w:szCs w:val="24"/>
        </w:rPr>
        <w:t>, F.</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 xml:space="preserve">N. (1970) </w:t>
      </w:r>
      <w:r w:rsidRPr="00BF60F3">
        <w:rPr>
          <w:rFonts w:ascii="Times New Roman" w:hAnsi="Times New Roman" w:cs="Times New Roman"/>
          <w:i/>
          <w:sz w:val="24"/>
          <w:szCs w:val="24"/>
        </w:rPr>
        <w:t>Foundations of behavioural research</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New York: Holt, Rinehart and Winston.</w:t>
      </w:r>
    </w:p>
    <w:p w:rsidR="000647A5" w:rsidRPr="00BF60F3" w:rsidRDefault="000647A5"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Kotze</w:t>
      </w:r>
      <w:proofErr w:type="spellEnd"/>
      <w:r w:rsidRPr="00BF60F3">
        <w:rPr>
          <w:rFonts w:ascii="Times New Roman" w:hAnsi="Times New Roman" w:cs="Times New Roman"/>
          <w:sz w:val="24"/>
          <w:szCs w:val="24"/>
        </w:rPr>
        <w:t>, T.</w:t>
      </w:r>
      <w:r w:rsidR="00977FDE" w:rsidRPr="00BF60F3">
        <w:rPr>
          <w:rFonts w:ascii="Times New Roman" w:hAnsi="Times New Roman" w:cs="Times New Roman"/>
          <w:sz w:val="24"/>
          <w:szCs w:val="24"/>
        </w:rPr>
        <w:t xml:space="preserve"> G. and</w:t>
      </w:r>
      <w:r w:rsidRPr="00BF60F3">
        <w:rPr>
          <w:rFonts w:ascii="Times New Roman" w:hAnsi="Times New Roman" w:cs="Times New Roman"/>
          <w:sz w:val="24"/>
          <w:szCs w:val="24"/>
        </w:rPr>
        <w:t xml:space="preserve"> Du Plessis, P.</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 xml:space="preserve">J. (2003) </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 xml:space="preserve">Students as </w:t>
      </w:r>
      <w:proofErr w:type="spellStart"/>
      <w:r w:rsidRPr="00BF60F3">
        <w:rPr>
          <w:rFonts w:ascii="Times New Roman" w:hAnsi="Times New Roman" w:cs="Times New Roman"/>
          <w:sz w:val="24"/>
          <w:szCs w:val="24"/>
        </w:rPr>
        <w:t>co producers</w:t>
      </w:r>
      <w:proofErr w:type="spellEnd"/>
      <w:r w:rsidRPr="00BF60F3">
        <w:rPr>
          <w:rFonts w:ascii="Times New Roman" w:hAnsi="Times New Roman" w:cs="Times New Roman"/>
          <w:sz w:val="24"/>
          <w:szCs w:val="24"/>
        </w:rPr>
        <w:t xml:space="preserve"> of education: A proposed model of students’ socialization and participation at tertiary institutions</w:t>
      </w:r>
      <w:r w:rsidR="00C6018C" w:rsidRPr="00BF60F3">
        <w:rPr>
          <w:rFonts w:ascii="Times New Roman" w:hAnsi="Times New Roman" w:cs="Times New Roman"/>
          <w:sz w:val="24"/>
          <w:szCs w:val="24"/>
        </w:rPr>
        <w:t>’</w:t>
      </w:r>
      <w:r w:rsidRPr="00BF60F3">
        <w:rPr>
          <w:rFonts w:ascii="Times New Roman" w:hAnsi="Times New Roman" w:cs="Times New Roman"/>
          <w:i/>
          <w:sz w:val="24"/>
          <w:szCs w:val="24"/>
        </w:rPr>
        <w:t xml:space="preserve">. </w:t>
      </w:r>
      <w:proofErr w:type="gramStart"/>
      <w:r w:rsidRPr="00BF60F3">
        <w:rPr>
          <w:rFonts w:ascii="Times New Roman" w:hAnsi="Times New Roman" w:cs="Times New Roman"/>
          <w:i/>
          <w:sz w:val="24"/>
          <w:szCs w:val="24"/>
        </w:rPr>
        <w:t>Quality Assurance in Education</w:t>
      </w:r>
      <w:r w:rsidR="00977FDE" w:rsidRPr="00BF60F3">
        <w:rPr>
          <w:rFonts w:ascii="Times New Roman" w:hAnsi="Times New Roman" w:cs="Times New Roman"/>
          <w:i/>
          <w:sz w:val="24"/>
          <w:szCs w:val="24"/>
        </w:rPr>
        <w:t>.</w:t>
      </w:r>
      <w:proofErr w:type="gramEnd"/>
      <w:r w:rsidRPr="00BF60F3">
        <w:rPr>
          <w:rFonts w:ascii="Times New Roman" w:hAnsi="Times New Roman" w:cs="Times New Roman"/>
          <w:sz w:val="24"/>
          <w:szCs w:val="24"/>
        </w:rPr>
        <w:t xml:space="preserve"> 27</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(1)</w:t>
      </w:r>
      <w:r w:rsidR="00977FDE" w:rsidRPr="00BF60F3">
        <w:rPr>
          <w:rFonts w:ascii="Times New Roman" w:hAnsi="Times New Roman" w:cs="Times New Roman"/>
          <w:sz w:val="24"/>
          <w:szCs w:val="24"/>
        </w:rPr>
        <w:t>:</w:t>
      </w:r>
      <w:r w:rsidRPr="00BF60F3">
        <w:rPr>
          <w:rFonts w:ascii="Times New Roman" w:hAnsi="Times New Roman" w:cs="Times New Roman"/>
          <w:sz w:val="24"/>
          <w:szCs w:val="24"/>
        </w:rPr>
        <w:t xml:space="preserve"> 27-52.</w:t>
      </w:r>
    </w:p>
    <w:p w:rsidR="00C22F59" w:rsidRPr="00BF60F3" w:rsidRDefault="00C22F59" w:rsidP="00E36EE2">
      <w:pPr>
        <w:spacing w:line="240" w:lineRule="auto"/>
        <w:rPr>
          <w:rFonts w:ascii="Times New Roman" w:hAnsi="Times New Roman" w:cs="Times New Roman"/>
          <w:sz w:val="24"/>
          <w:szCs w:val="24"/>
        </w:rPr>
      </w:pPr>
      <w:proofErr w:type="gramStart"/>
      <w:r w:rsidRPr="00BF60F3">
        <w:rPr>
          <w:rFonts w:ascii="Times New Roman" w:hAnsi="Times New Roman" w:cs="Times New Roman"/>
          <w:sz w:val="24"/>
          <w:szCs w:val="24"/>
        </w:rPr>
        <w:t xml:space="preserve">Layne, B. H., </w:t>
      </w:r>
      <w:proofErr w:type="spellStart"/>
      <w:r w:rsidRPr="00BF60F3">
        <w:rPr>
          <w:rFonts w:ascii="Times New Roman" w:hAnsi="Times New Roman" w:cs="Times New Roman"/>
          <w:sz w:val="24"/>
          <w:szCs w:val="24"/>
        </w:rPr>
        <w:t>DeCristoforo</w:t>
      </w:r>
      <w:proofErr w:type="spellEnd"/>
      <w:r w:rsidRPr="00BF60F3">
        <w:rPr>
          <w:rFonts w:ascii="Times New Roman" w:hAnsi="Times New Roman" w:cs="Times New Roman"/>
          <w:sz w:val="24"/>
          <w:szCs w:val="24"/>
        </w:rPr>
        <w:t xml:space="preserve">, J. R. and </w:t>
      </w:r>
      <w:proofErr w:type="spellStart"/>
      <w:r w:rsidRPr="00BF60F3">
        <w:rPr>
          <w:rFonts w:ascii="Times New Roman" w:hAnsi="Times New Roman" w:cs="Times New Roman"/>
          <w:sz w:val="24"/>
          <w:szCs w:val="24"/>
        </w:rPr>
        <w:t>McGinty</w:t>
      </w:r>
      <w:proofErr w:type="spellEnd"/>
      <w:r w:rsidRPr="00BF60F3">
        <w:rPr>
          <w:rFonts w:ascii="Times New Roman" w:hAnsi="Times New Roman" w:cs="Times New Roman"/>
          <w:sz w:val="24"/>
          <w:szCs w:val="24"/>
        </w:rPr>
        <w:t>, D. (1999).</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sz w:val="24"/>
          <w:szCs w:val="24"/>
        </w:rPr>
        <w:t>‘Electronic Versus Traditional Student Ratings of Instruction’.</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Research in Higher Education</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40 (2): 221-232.</w:t>
      </w:r>
    </w:p>
    <w:p w:rsidR="00A0136F" w:rsidRPr="00BF60F3" w:rsidRDefault="00A0136F"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 xml:space="preserve">Ling, J., Heffernan, T. M. and </w:t>
      </w:r>
      <w:proofErr w:type="spellStart"/>
      <w:r w:rsidRPr="00BF60F3">
        <w:rPr>
          <w:rFonts w:ascii="Times New Roman" w:hAnsi="Times New Roman" w:cs="Times New Roman"/>
          <w:sz w:val="24"/>
          <w:szCs w:val="24"/>
        </w:rPr>
        <w:t>Muncer</w:t>
      </w:r>
      <w:proofErr w:type="spellEnd"/>
      <w:r w:rsidRPr="00BF60F3">
        <w:rPr>
          <w:rFonts w:ascii="Times New Roman" w:hAnsi="Times New Roman" w:cs="Times New Roman"/>
          <w:sz w:val="24"/>
          <w:szCs w:val="24"/>
        </w:rPr>
        <w:t xml:space="preserve">, S. J. (2003) ‘Higher education students’ beliefs about the causes of examination failure: A network approach’. </w:t>
      </w:r>
      <w:proofErr w:type="gramStart"/>
      <w:r w:rsidRPr="00BF60F3">
        <w:rPr>
          <w:rFonts w:ascii="Times New Roman" w:hAnsi="Times New Roman" w:cs="Times New Roman"/>
          <w:i/>
          <w:sz w:val="24"/>
          <w:szCs w:val="24"/>
        </w:rPr>
        <w:t>Social Psychology of Education</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6 (2): 159-170.</w:t>
      </w:r>
    </w:p>
    <w:p w:rsidR="000647A5" w:rsidRPr="00BF60F3" w:rsidRDefault="00977FDE" w:rsidP="00E36EE2">
      <w:pPr>
        <w:spacing w:line="240" w:lineRule="auto"/>
        <w:rPr>
          <w:rFonts w:ascii="Times New Roman" w:hAnsi="Times New Roman" w:cs="Times New Roman"/>
          <w:sz w:val="24"/>
          <w:szCs w:val="24"/>
        </w:rPr>
      </w:pPr>
      <w:proofErr w:type="gramStart"/>
      <w:r w:rsidRPr="00BF60F3">
        <w:rPr>
          <w:rFonts w:ascii="Times New Roman" w:hAnsi="Times New Roman" w:cs="Times New Roman"/>
          <w:sz w:val="24"/>
          <w:szCs w:val="24"/>
        </w:rPr>
        <w:t>Ling, F. Y. Y, Ng, P. K. and</w:t>
      </w:r>
      <w:r w:rsidR="000647A5" w:rsidRPr="00BF60F3">
        <w:rPr>
          <w:rFonts w:ascii="Times New Roman" w:hAnsi="Times New Roman" w:cs="Times New Roman"/>
          <w:sz w:val="24"/>
          <w:szCs w:val="24"/>
        </w:rPr>
        <w:t xml:space="preserve"> Leung, M-Y.</w:t>
      </w:r>
      <w:proofErr w:type="gramEnd"/>
      <w:r w:rsidR="000647A5" w:rsidRPr="00BF60F3">
        <w:rPr>
          <w:rFonts w:ascii="Times New Roman" w:hAnsi="Times New Roman" w:cs="Times New Roman"/>
          <w:sz w:val="24"/>
          <w:szCs w:val="24"/>
        </w:rPr>
        <w:t xml:space="preserve"> (2011) </w:t>
      </w:r>
      <w:r w:rsidR="00C6018C" w:rsidRPr="00BF60F3">
        <w:rPr>
          <w:rFonts w:ascii="Times New Roman" w:hAnsi="Times New Roman" w:cs="Times New Roman"/>
          <w:sz w:val="24"/>
          <w:szCs w:val="24"/>
        </w:rPr>
        <w:t>‘</w:t>
      </w:r>
      <w:proofErr w:type="gramStart"/>
      <w:r w:rsidR="000647A5" w:rsidRPr="00BF60F3">
        <w:rPr>
          <w:rFonts w:ascii="Times New Roman" w:hAnsi="Times New Roman" w:cs="Times New Roman"/>
          <w:sz w:val="24"/>
          <w:szCs w:val="24"/>
        </w:rPr>
        <w:t>Predicting</w:t>
      </w:r>
      <w:proofErr w:type="gramEnd"/>
      <w:r w:rsidR="000647A5" w:rsidRPr="00BF60F3">
        <w:rPr>
          <w:rFonts w:ascii="Times New Roman" w:hAnsi="Times New Roman" w:cs="Times New Roman"/>
          <w:sz w:val="24"/>
          <w:szCs w:val="24"/>
        </w:rPr>
        <w:t xml:space="preserve"> the academic performance of construction engineering students by teaching and learning approaches: case study</w:t>
      </w:r>
      <w:r w:rsidR="00C6018C" w:rsidRPr="00BF60F3">
        <w:rPr>
          <w:rFonts w:ascii="Times New Roman" w:hAnsi="Times New Roman" w:cs="Times New Roman"/>
          <w:sz w:val="24"/>
          <w:szCs w:val="24"/>
        </w:rPr>
        <w:t>’</w:t>
      </w:r>
      <w:r w:rsidR="000647A5" w:rsidRPr="00BF60F3">
        <w:rPr>
          <w:rFonts w:ascii="Times New Roman" w:hAnsi="Times New Roman" w:cs="Times New Roman"/>
          <w:sz w:val="24"/>
          <w:szCs w:val="24"/>
        </w:rPr>
        <w:t xml:space="preserve">. </w:t>
      </w:r>
      <w:proofErr w:type="gramStart"/>
      <w:r w:rsidR="000647A5" w:rsidRPr="00BF60F3">
        <w:rPr>
          <w:rFonts w:ascii="Times New Roman" w:hAnsi="Times New Roman" w:cs="Times New Roman"/>
          <w:i/>
          <w:sz w:val="24"/>
          <w:szCs w:val="24"/>
        </w:rPr>
        <w:t>Journal of Professional Issues in Engineering Education &amp; Practice</w:t>
      </w:r>
      <w:r w:rsidRPr="00BF60F3">
        <w:rPr>
          <w:rFonts w:ascii="Times New Roman" w:hAnsi="Times New Roman" w:cs="Times New Roman"/>
          <w:i/>
          <w:sz w:val="24"/>
          <w:szCs w:val="24"/>
        </w:rPr>
        <w:t>.</w:t>
      </w:r>
      <w:proofErr w:type="gramEnd"/>
      <w:r w:rsidR="000647A5" w:rsidRPr="00BF60F3">
        <w:rPr>
          <w:rFonts w:ascii="Times New Roman" w:hAnsi="Times New Roman" w:cs="Times New Roman"/>
          <w:sz w:val="24"/>
          <w:szCs w:val="24"/>
        </w:rPr>
        <w:t xml:space="preserve"> 137</w:t>
      </w:r>
      <w:r w:rsidRPr="00BF60F3">
        <w:rPr>
          <w:rFonts w:ascii="Times New Roman" w:hAnsi="Times New Roman" w:cs="Times New Roman"/>
          <w:sz w:val="24"/>
          <w:szCs w:val="24"/>
        </w:rPr>
        <w:t xml:space="preserve"> (4):</w:t>
      </w:r>
      <w:r w:rsidR="000647A5" w:rsidRPr="00BF60F3">
        <w:rPr>
          <w:rFonts w:ascii="Times New Roman" w:hAnsi="Times New Roman" w:cs="Times New Roman"/>
          <w:sz w:val="24"/>
          <w:szCs w:val="24"/>
        </w:rPr>
        <w:t xml:space="preserve"> 277-284.</w:t>
      </w:r>
    </w:p>
    <w:p w:rsidR="000647A5" w:rsidRPr="00BF60F3" w:rsidRDefault="00977FDE" w:rsidP="00E36EE2">
      <w:pPr>
        <w:spacing w:line="240" w:lineRule="auto"/>
        <w:rPr>
          <w:rFonts w:ascii="Times New Roman" w:hAnsi="Times New Roman" w:cs="Times New Roman"/>
          <w:sz w:val="24"/>
          <w:szCs w:val="24"/>
        </w:rPr>
      </w:pPr>
      <w:proofErr w:type="spellStart"/>
      <w:proofErr w:type="gramStart"/>
      <w:r w:rsidRPr="00BF60F3">
        <w:rPr>
          <w:rFonts w:ascii="Times New Roman" w:hAnsi="Times New Roman" w:cs="Times New Roman"/>
          <w:sz w:val="24"/>
          <w:szCs w:val="24"/>
        </w:rPr>
        <w:lastRenderedPageBreak/>
        <w:t>Lizzio</w:t>
      </w:r>
      <w:proofErr w:type="spellEnd"/>
      <w:r w:rsidRPr="00BF60F3">
        <w:rPr>
          <w:rFonts w:ascii="Times New Roman" w:hAnsi="Times New Roman" w:cs="Times New Roman"/>
          <w:sz w:val="24"/>
          <w:szCs w:val="24"/>
        </w:rPr>
        <w:t>, A., Wilson, K. and</w:t>
      </w:r>
      <w:r w:rsidR="000647A5" w:rsidRPr="00BF60F3">
        <w:rPr>
          <w:rFonts w:ascii="Times New Roman" w:hAnsi="Times New Roman" w:cs="Times New Roman"/>
          <w:sz w:val="24"/>
          <w:szCs w:val="24"/>
        </w:rPr>
        <w:t xml:space="preserve"> Simons, R. (2002) </w:t>
      </w:r>
      <w:r w:rsidR="00C6018C" w:rsidRPr="00BF60F3">
        <w:rPr>
          <w:rFonts w:ascii="Times New Roman" w:hAnsi="Times New Roman" w:cs="Times New Roman"/>
          <w:sz w:val="24"/>
          <w:szCs w:val="24"/>
        </w:rPr>
        <w:t>‘</w:t>
      </w:r>
      <w:r w:rsidR="000647A5" w:rsidRPr="00BF60F3">
        <w:rPr>
          <w:rFonts w:ascii="Times New Roman" w:hAnsi="Times New Roman" w:cs="Times New Roman"/>
          <w:sz w:val="24"/>
          <w:szCs w:val="24"/>
        </w:rPr>
        <w:t>University students’ perceptions of the learning environment and academic outcomes: implications for theory and practice</w:t>
      </w:r>
      <w:r w:rsidR="00C6018C" w:rsidRPr="00BF60F3">
        <w:rPr>
          <w:rFonts w:ascii="Times New Roman" w:hAnsi="Times New Roman" w:cs="Times New Roman"/>
          <w:sz w:val="24"/>
          <w:szCs w:val="24"/>
        </w:rPr>
        <w:t>’</w:t>
      </w:r>
      <w:r w:rsidR="000647A5" w:rsidRPr="00BF60F3">
        <w:rPr>
          <w:rFonts w:ascii="Times New Roman" w:hAnsi="Times New Roman" w:cs="Times New Roman"/>
          <w:sz w:val="24"/>
          <w:szCs w:val="24"/>
        </w:rPr>
        <w:t>.</w:t>
      </w:r>
      <w:proofErr w:type="gramEnd"/>
      <w:r w:rsidR="000647A5" w:rsidRPr="00BF60F3">
        <w:rPr>
          <w:rFonts w:ascii="Times New Roman" w:hAnsi="Times New Roman" w:cs="Times New Roman"/>
          <w:sz w:val="24"/>
          <w:szCs w:val="24"/>
        </w:rPr>
        <w:t xml:space="preserve"> </w:t>
      </w:r>
      <w:proofErr w:type="gramStart"/>
      <w:r w:rsidR="000647A5" w:rsidRPr="00BF60F3">
        <w:rPr>
          <w:rFonts w:ascii="Times New Roman" w:hAnsi="Times New Roman" w:cs="Times New Roman"/>
          <w:i/>
          <w:sz w:val="24"/>
          <w:szCs w:val="24"/>
        </w:rPr>
        <w:t>Studies in Higher Education</w:t>
      </w:r>
      <w:r w:rsidRPr="00BF60F3">
        <w:rPr>
          <w:rFonts w:ascii="Times New Roman" w:hAnsi="Times New Roman" w:cs="Times New Roman"/>
          <w:i/>
          <w:sz w:val="24"/>
          <w:szCs w:val="24"/>
        </w:rPr>
        <w:t>.</w:t>
      </w:r>
      <w:proofErr w:type="gramEnd"/>
      <w:r w:rsidR="000647A5" w:rsidRPr="00BF60F3">
        <w:rPr>
          <w:rFonts w:ascii="Times New Roman" w:hAnsi="Times New Roman" w:cs="Times New Roman"/>
          <w:sz w:val="24"/>
          <w:szCs w:val="24"/>
        </w:rPr>
        <w:t xml:space="preserve"> 27</w:t>
      </w:r>
      <w:r w:rsidRPr="00BF60F3">
        <w:rPr>
          <w:rFonts w:ascii="Times New Roman" w:hAnsi="Times New Roman" w:cs="Times New Roman"/>
          <w:sz w:val="24"/>
          <w:szCs w:val="24"/>
        </w:rPr>
        <w:t xml:space="preserve"> </w:t>
      </w:r>
      <w:r w:rsidR="000647A5" w:rsidRPr="00BF60F3">
        <w:rPr>
          <w:rFonts w:ascii="Times New Roman" w:hAnsi="Times New Roman" w:cs="Times New Roman"/>
          <w:sz w:val="24"/>
          <w:szCs w:val="24"/>
        </w:rPr>
        <w:t>(1)</w:t>
      </w:r>
      <w:r w:rsidRPr="00BF60F3">
        <w:rPr>
          <w:rFonts w:ascii="Times New Roman" w:hAnsi="Times New Roman" w:cs="Times New Roman"/>
          <w:sz w:val="24"/>
          <w:szCs w:val="24"/>
        </w:rPr>
        <w:t>:</w:t>
      </w:r>
      <w:r w:rsidR="000647A5" w:rsidRPr="00BF60F3">
        <w:rPr>
          <w:rFonts w:ascii="Times New Roman" w:hAnsi="Times New Roman" w:cs="Times New Roman"/>
          <w:sz w:val="24"/>
          <w:szCs w:val="24"/>
        </w:rPr>
        <w:t xml:space="preserve"> 27-52.</w:t>
      </w:r>
    </w:p>
    <w:p w:rsidR="000647A5" w:rsidRPr="00BF60F3" w:rsidRDefault="000647A5"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Magnusson, J.</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 xml:space="preserve">L. (1998) </w:t>
      </w:r>
      <w:proofErr w:type="gramStart"/>
      <w:r w:rsidRPr="00BF60F3">
        <w:rPr>
          <w:rFonts w:ascii="Times New Roman" w:hAnsi="Times New Roman" w:cs="Times New Roman"/>
          <w:i/>
          <w:sz w:val="24"/>
          <w:szCs w:val="24"/>
        </w:rPr>
        <w:t>The</w:t>
      </w:r>
      <w:proofErr w:type="gramEnd"/>
      <w:r w:rsidRPr="00BF60F3">
        <w:rPr>
          <w:rFonts w:ascii="Times New Roman" w:hAnsi="Times New Roman" w:cs="Times New Roman"/>
          <w:i/>
          <w:sz w:val="24"/>
          <w:szCs w:val="24"/>
        </w:rPr>
        <w:t xml:space="preserve"> evaluation of university teaching: exploring the question of resistance</w:t>
      </w:r>
      <w:r w:rsidRPr="00BF60F3">
        <w:rPr>
          <w:rFonts w:ascii="Times New Roman" w:hAnsi="Times New Roman" w:cs="Times New Roman"/>
          <w:sz w:val="24"/>
          <w:szCs w:val="24"/>
        </w:rPr>
        <w:t>. Ontario Institute of Education: University of Toronto.</w:t>
      </w:r>
    </w:p>
    <w:p w:rsidR="000647A5" w:rsidRPr="00BF60F3" w:rsidRDefault="00977FDE" w:rsidP="00E36EE2">
      <w:pPr>
        <w:spacing w:line="240" w:lineRule="auto"/>
        <w:rPr>
          <w:rFonts w:ascii="Times New Roman" w:hAnsi="Times New Roman" w:cs="Times New Roman"/>
          <w:sz w:val="24"/>
          <w:szCs w:val="24"/>
        </w:rPr>
      </w:pPr>
      <w:proofErr w:type="gramStart"/>
      <w:r w:rsidRPr="00BF60F3">
        <w:rPr>
          <w:rFonts w:ascii="Times New Roman" w:hAnsi="Times New Roman" w:cs="Times New Roman"/>
          <w:sz w:val="24"/>
          <w:szCs w:val="24"/>
        </w:rPr>
        <w:t>Margaret, B. and</w:t>
      </w:r>
      <w:r w:rsidR="000647A5" w:rsidRPr="00BF60F3">
        <w:rPr>
          <w:rFonts w:ascii="Times New Roman" w:hAnsi="Times New Roman" w:cs="Times New Roman"/>
          <w:sz w:val="24"/>
          <w:szCs w:val="24"/>
        </w:rPr>
        <w:t xml:space="preserve"> Guest, R. (2007) </w:t>
      </w:r>
      <w:r w:rsidR="00C6018C" w:rsidRPr="00BF60F3">
        <w:rPr>
          <w:rFonts w:ascii="Times New Roman" w:hAnsi="Times New Roman" w:cs="Times New Roman"/>
          <w:sz w:val="24"/>
          <w:szCs w:val="24"/>
        </w:rPr>
        <w:t>‘</w:t>
      </w:r>
      <w:r w:rsidR="000647A5" w:rsidRPr="00BF60F3">
        <w:rPr>
          <w:rFonts w:ascii="Times New Roman" w:hAnsi="Times New Roman" w:cs="Times New Roman"/>
          <w:sz w:val="24"/>
          <w:szCs w:val="24"/>
        </w:rPr>
        <w:t>A conversation about pedagogical responses to increase diversity in university classrooms</w:t>
      </w:r>
      <w:r w:rsidR="00C6018C" w:rsidRPr="00BF60F3">
        <w:rPr>
          <w:rFonts w:ascii="Times New Roman" w:hAnsi="Times New Roman" w:cs="Times New Roman"/>
          <w:sz w:val="24"/>
          <w:szCs w:val="24"/>
        </w:rPr>
        <w:t>’</w:t>
      </w:r>
      <w:r w:rsidR="000647A5" w:rsidRPr="00BF60F3">
        <w:rPr>
          <w:rFonts w:ascii="Times New Roman" w:hAnsi="Times New Roman" w:cs="Times New Roman"/>
          <w:i/>
          <w:sz w:val="24"/>
          <w:szCs w:val="24"/>
        </w:rPr>
        <w:t>.</w:t>
      </w:r>
      <w:proofErr w:type="gramEnd"/>
      <w:r w:rsidR="000647A5" w:rsidRPr="00BF60F3">
        <w:rPr>
          <w:rFonts w:ascii="Times New Roman" w:hAnsi="Times New Roman" w:cs="Times New Roman"/>
          <w:i/>
          <w:sz w:val="24"/>
          <w:szCs w:val="24"/>
        </w:rPr>
        <w:t xml:space="preserve"> </w:t>
      </w:r>
      <w:proofErr w:type="gramStart"/>
      <w:r w:rsidR="000647A5" w:rsidRPr="00BF60F3">
        <w:rPr>
          <w:rFonts w:ascii="Times New Roman" w:hAnsi="Times New Roman" w:cs="Times New Roman"/>
          <w:i/>
          <w:sz w:val="24"/>
          <w:szCs w:val="24"/>
        </w:rPr>
        <w:t>Higher Education Research &amp; Development</w:t>
      </w:r>
      <w:r w:rsidRPr="00BF60F3">
        <w:rPr>
          <w:rFonts w:ascii="Times New Roman" w:hAnsi="Times New Roman" w:cs="Times New Roman"/>
          <w:i/>
          <w:sz w:val="24"/>
          <w:szCs w:val="24"/>
        </w:rPr>
        <w:t>.</w:t>
      </w:r>
      <w:proofErr w:type="gramEnd"/>
      <w:r w:rsidR="000647A5" w:rsidRPr="00BF60F3">
        <w:rPr>
          <w:rFonts w:ascii="Times New Roman" w:hAnsi="Times New Roman" w:cs="Times New Roman"/>
          <w:sz w:val="24"/>
          <w:szCs w:val="24"/>
        </w:rPr>
        <w:t xml:space="preserve"> 26</w:t>
      </w:r>
      <w:r w:rsidRPr="00BF60F3">
        <w:rPr>
          <w:rFonts w:ascii="Times New Roman" w:hAnsi="Times New Roman" w:cs="Times New Roman"/>
          <w:sz w:val="24"/>
          <w:szCs w:val="24"/>
        </w:rPr>
        <w:t xml:space="preserve"> (2):</w:t>
      </w:r>
      <w:r w:rsidR="000647A5" w:rsidRPr="00BF60F3">
        <w:rPr>
          <w:rFonts w:ascii="Times New Roman" w:hAnsi="Times New Roman" w:cs="Times New Roman"/>
          <w:sz w:val="24"/>
          <w:szCs w:val="24"/>
        </w:rPr>
        <w:t xml:space="preserve"> 133-146.</w:t>
      </w:r>
    </w:p>
    <w:p w:rsidR="00C22F59" w:rsidRPr="00BF60F3" w:rsidRDefault="00C22F59" w:rsidP="00C22F59">
      <w:pPr>
        <w:spacing w:line="240" w:lineRule="auto"/>
        <w:rPr>
          <w:rFonts w:ascii="Times New Roman" w:hAnsi="Times New Roman" w:cs="Times New Roman"/>
          <w:sz w:val="24"/>
          <w:szCs w:val="24"/>
        </w:rPr>
      </w:pPr>
      <w:r w:rsidRPr="00BF60F3">
        <w:rPr>
          <w:rFonts w:ascii="Times New Roman" w:hAnsi="Times New Roman" w:cs="Times New Roman"/>
          <w:sz w:val="24"/>
          <w:szCs w:val="24"/>
        </w:rPr>
        <w:t>Marsh, H. W. (1984) ‘Students' evaluations of university teaching: Dimensionality, reliability, validity, potential b</w:t>
      </w:r>
      <w:r w:rsidR="004C7AB9" w:rsidRPr="00BF60F3">
        <w:rPr>
          <w:rFonts w:ascii="Times New Roman" w:hAnsi="Times New Roman" w:cs="Times New Roman"/>
          <w:sz w:val="24"/>
          <w:szCs w:val="24"/>
        </w:rPr>
        <w:t>i</w:t>
      </w:r>
      <w:r w:rsidRPr="00BF60F3">
        <w:rPr>
          <w:rFonts w:ascii="Times New Roman" w:hAnsi="Times New Roman" w:cs="Times New Roman"/>
          <w:sz w:val="24"/>
          <w:szCs w:val="24"/>
        </w:rPr>
        <w:t xml:space="preserve">ases, and utility’. </w:t>
      </w:r>
      <w:proofErr w:type="gramStart"/>
      <w:r w:rsidRPr="00BF60F3">
        <w:rPr>
          <w:rFonts w:ascii="Times New Roman" w:hAnsi="Times New Roman" w:cs="Times New Roman"/>
          <w:i/>
          <w:sz w:val="24"/>
          <w:szCs w:val="24"/>
        </w:rPr>
        <w:t>Journal of Educational Psychology</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76 (5): 707-754.</w:t>
      </w:r>
    </w:p>
    <w:p w:rsidR="00C22F59" w:rsidRPr="00BF60F3" w:rsidRDefault="00C22F59" w:rsidP="00C22F59">
      <w:pPr>
        <w:spacing w:line="240" w:lineRule="auto"/>
        <w:rPr>
          <w:rFonts w:ascii="Times New Roman" w:hAnsi="Times New Roman" w:cs="Times New Roman"/>
          <w:sz w:val="24"/>
          <w:szCs w:val="24"/>
        </w:rPr>
      </w:pPr>
      <w:r w:rsidRPr="00BF60F3">
        <w:rPr>
          <w:rFonts w:ascii="Times New Roman" w:hAnsi="Times New Roman" w:cs="Times New Roman"/>
          <w:sz w:val="24"/>
          <w:szCs w:val="24"/>
        </w:rPr>
        <w:t xml:space="preserve">Marsh, H.W. (1987) ‘Students evaluations of university teaching: Research findings, methodological issues, and directions for future research’. </w:t>
      </w:r>
      <w:proofErr w:type="gramStart"/>
      <w:r w:rsidRPr="00BF60F3">
        <w:rPr>
          <w:rFonts w:ascii="Times New Roman" w:hAnsi="Times New Roman" w:cs="Times New Roman"/>
          <w:i/>
          <w:sz w:val="24"/>
          <w:szCs w:val="24"/>
        </w:rPr>
        <w:t>International Journal of Educational Research</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11 (3): 253-388.</w:t>
      </w:r>
    </w:p>
    <w:p w:rsidR="006C21CE" w:rsidRPr="00BF60F3" w:rsidRDefault="006C21CE"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Marsh, H.</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 xml:space="preserve">W. and Bailey, M. (1993) </w:t>
      </w:r>
      <w:r w:rsidR="00C6018C" w:rsidRPr="00BF60F3">
        <w:rPr>
          <w:rFonts w:ascii="Times New Roman" w:hAnsi="Times New Roman" w:cs="Times New Roman"/>
          <w:sz w:val="24"/>
          <w:szCs w:val="24"/>
        </w:rPr>
        <w:t>‘</w:t>
      </w:r>
      <w:r w:rsidRPr="00BF60F3">
        <w:rPr>
          <w:rFonts w:ascii="Times New Roman" w:hAnsi="Times New Roman" w:cs="Times New Roman"/>
          <w:sz w:val="24"/>
          <w:szCs w:val="24"/>
        </w:rPr>
        <w:t>Multidimensional students’ evaluations of teaching effectiveness: a profile anal</w:t>
      </w:r>
      <w:r w:rsidR="00977FDE" w:rsidRPr="00BF60F3">
        <w:rPr>
          <w:rFonts w:ascii="Times New Roman" w:hAnsi="Times New Roman" w:cs="Times New Roman"/>
          <w:sz w:val="24"/>
          <w:szCs w:val="24"/>
        </w:rPr>
        <w:t>ysis</w:t>
      </w:r>
      <w:r w:rsidR="00C6018C" w:rsidRPr="00BF60F3">
        <w:rPr>
          <w:rFonts w:ascii="Times New Roman" w:hAnsi="Times New Roman" w:cs="Times New Roman"/>
          <w:sz w:val="24"/>
          <w:szCs w:val="24"/>
        </w:rPr>
        <w:t>’</w:t>
      </w:r>
      <w:r w:rsidR="00977FDE" w:rsidRPr="00BF60F3">
        <w:rPr>
          <w:rFonts w:ascii="Times New Roman" w:hAnsi="Times New Roman" w:cs="Times New Roman"/>
          <w:sz w:val="24"/>
          <w:szCs w:val="24"/>
        </w:rPr>
        <w:t>.</w:t>
      </w:r>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Journal of Higher Education</w:t>
      </w:r>
      <w:r w:rsidR="00977FDE"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64</w:t>
      </w:r>
      <w:r w:rsidR="00977FDE" w:rsidRPr="00BF60F3">
        <w:rPr>
          <w:rFonts w:ascii="Times New Roman" w:hAnsi="Times New Roman" w:cs="Times New Roman"/>
          <w:sz w:val="24"/>
          <w:szCs w:val="24"/>
        </w:rPr>
        <w:t xml:space="preserve"> (1):</w:t>
      </w:r>
      <w:r w:rsidRPr="00BF60F3">
        <w:rPr>
          <w:rFonts w:ascii="Times New Roman" w:hAnsi="Times New Roman" w:cs="Times New Roman"/>
          <w:sz w:val="24"/>
          <w:szCs w:val="24"/>
        </w:rPr>
        <w:t xml:space="preserve"> 1-18</w:t>
      </w:r>
      <w:r w:rsidR="00C22F59" w:rsidRPr="00BF60F3">
        <w:rPr>
          <w:rFonts w:ascii="Times New Roman" w:hAnsi="Times New Roman" w:cs="Times New Roman"/>
          <w:sz w:val="24"/>
          <w:szCs w:val="24"/>
        </w:rPr>
        <w:t>.</w:t>
      </w:r>
    </w:p>
    <w:p w:rsidR="006C21CE" w:rsidRPr="00BF60F3" w:rsidRDefault="006C21CE" w:rsidP="00E36EE2">
      <w:pPr>
        <w:spacing w:line="240" w:lineRule="auto"/>
        <w:rPr>
          <w:rFonts w:ascii="Times New Roman" w:hAnsi="Times New Roman" w:cs="Times New Roman"/>
          <w:sz w:val="24"/>
          <w:szCs w:val="24"/>
        </w:rPr>
      </w:pPr>
      <w:proofErr w:type="spellStart"/>
      <w:r w:rsidRPr="00BF60F3">
        <w:rPr>
          <w:rFonts w:ascii="Times New Roman" w:hAnsi="Times New Roman" w:cs="Times New Roman"/>
          <w:sz w:val="24"/>
          <w:szCs w:val="24"/>
        </w:rPr>
        <w:t>McKeachie</w:t>
      </w:r>
      <w:proofErr w:type="spellEnd"/>
      <w:r w:rsidRPr="00BF60F3">
        <w:rPr>
          <w:rFonts w:ascii="Times New Roman" w:hAnsi="Times New Roman" w:cs="Times New Roman"/>
          <w:sz w:val="24"/>
          <w:szCs w:val="24"/>
        </w:rPr>
        <w:t>, W.</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 xml:space="preserve">J., </w:t>
      </w:r>
      <w:proofErr w:type="spellStart"/>
      <w:r w:rsidRPr="00BF60F3">
        <w:rPr>
          <w:rFonts w:ascii="Times New Roman" w:hAnsi="Times New Roman" w:cs="Times New Roman"/>
          <w:sz w:val="24"/>
          <w:szCs w:val="24"/>
        </w:rPr>
        <w:t>Pintrich</w:t>
      </w:r>
      <w:proofErr w:type="spellEnd"/>
      <w:r w:rsidRPr="00BF60F3">
        <w:rPr>
          <w:rFonts w:ascii="Times New Roman" w:hAnsi="Times New Roman" w:cs="Times New Roman"/>
          <w:sz w:val="24"/>
          <w:szCs w:val="24"/>
        </w:rPr>
        <w:t>, P.</w:t>
      </w:r>
      <w:r w:rsidR="00977FDE" w:rsidRPr="00BF60F3">
        <w:rPr>
          <w:rFonts w:ascii="Times New Roman" w:hAnsi="Times New Roman" w:cs="Times New Roman"/>
          <w:sz w:val="24"/>
          <w:szCs w:val="24"/>
        </w:rPr>
        <w:t xml:space="preserve"> </w:t>
      </w:r>
      <w:r w:rsidRPr="00BF60F3">
        <w:rPr>
          <w:rFonts w:ascii="Times New Roman" w:hAnsi="Times New Roman" w:cs="Times New Roman"/>
          <w:sz w:val="24"/>
          <w:szCs w:val="24"/>
        </w:rPr>
        <w:t>R, Yi-</w:t>
      </w:r>
      <w:proofErr w:type="spellStart"/>
      <w:r w:rsidRPr="00BF60F3">
        <w:rPr>
          <w:rFonts w:ascii="Times New Roman" w:hAnsi="Times New Roman" w:cs="Times New Roman"/>
          <w:sz w:val="24"/>
          <w:szCs w:val="24"/>
        </w:rPr>
        <w:t>G</w:t>
      </w:r>
      <w:r w:rsidR="00977FDE" w:rsidRPr="00BF60F3">
        <w:rPr>
          <w:rFonts w:ascii="Times New Roman" w:hAnsi="Times New Roman" w:cs="Times New Roman"/>
          <w:sz w:val="24"/>
          <w:szCs w:val="24"/>
        </w:rPr>
        <w:t>uang</w:t>
      </w:r>
      <w:proofErr w:type="spellEnd"/>
      <w:r w:rsidR="00977FDE" w:rsidRPr="00BF60F3">
        <w:rPr>
          <w:rFonts w:ascii="Times New Roman" w:hAnsi="Times New Roman" w:cs="Times New Roman"/>
          <w:sz w:val="24"/>
          <w:szCs w:val="24"/>
        </w:rPr>
        <w:t xml:space="preserve">, L. and Smith, D. A. F. (1986) </w:t>
      </w:r>
      <w:r w:rsidRPr="00BF60F3">
        <w:rPr>
          <w:rFonts w:ascii="Times New Roman" w:hAnsi="Times New Roman" w:cs="Times New Roman"/>
          <w:i/>
          <w:sz w:val="24"/>
          <w:szCs w:val="24"/>
        </w:rPr>
        <w:t>Teaching and Learning in the college classroom: A review of the research literatur</w:t>
      </w:r>
      <w:r w:rsidRPr="00BF60F3">
        <w:rPr>
          <w:rFonts w:ascii="Times New Roman" w:hAnsi="Times New Roman" w:cs="Times New Roman"/>
          <w:sz w:val="24"/>
          <w:szCs w:val="24"/>
        </w:rPr>
        <w:t>e. MI: The University of Michigan.</w:t>
      </w:r>
    </w:p>
    <w:p w:rsidR="00C22F59" w:rsidRPr="00BF60F3" w:rsidRDefault="00C22F59"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 xml:space="preserve">McPherson, M., Jewell, R. and Kim, M. (2009) ‘What Determines Student Evaluation Scores? </w:t>
      </w:r>
      <w:proofErr w:type="gramStart"/>
      <w:r w:rsidRPr="00BF60F3">
        <w:rPr>
          <w:rFonts w:ascii="Times New Roman" w:hAnsi="Times New Roman" w:cs="Times New Roman"/>
          <w:sz w:val="24"/>
          <w:szCs w:val="24"/>
        </w:rPr>
        <w:t>A Random Effects Analysis of Undergraduate Economics Classes’.</w:t>
      </w:r>
      <w:proofErr w:type="gramEnd"/>
      <w:r w:rsidRPr="00BF60F3">
        <w:rPr>
          <w:rFonts w:ascii="Times New Roman" w:hAnsi="Times New Roman" w:cs="Times New Roman"/>
          <w:sz w:val="24"/>
          <w:szCs w:val="24"/>
        </w:rPr>
        <w:t xml:space="preserve"> </w:t>
      </w:r>
      <w:proofErr w:type="gramStart"/>
      <w:r w:rsidRPr="00BF60F3">
        <w:rPr>
          <w:rFonts w:ascii="Times New Roman" w:hAnsi="Times New Roman" w:cs="Times New Roman"/>
          <w:i/>
          <w:sz w:val="24"/>
          <w:szCs w:val="24"/>
        </w:rPr>
        <w:t>Eastern Economic Journal</w:t>
      </w:r>
      <w:r w:rsidRPr="00BF60F3">
        <w:rPr>
          <w:rFonts w:ascii="Times New Roman" w:hAnsi="Times New Roman" w:cs="Times New Roman"/>
          <w:sz w:val="24"/>
          <w:szCs w:val="24"/>
        </w:rPr>
        <w:t>.</w:t>
      </w:r>
      <w:proofErr w:type="gramEnd"/>
      <w:r w:rsidRPr="00BF60F3">
        <w:rPr>
          <w:rFonts w:ascii="Times New Roman" w:hAnsi="Times New Roman" w:cs="Times New Roman"/>
          <w:sz w:val="24"/>
          <w:szCs w:val="24"/>
        </w:rPr>
        <w:t xml:space="preserve"> 35 (1): 37-51.</w:t>
      </w:r>
    </w:p>
    <w:p w:rsidR="000647A5" w:rsidRPr="00BF60F3" w:rsidRDefault="00977FDE" w:rsidP="00E36EE2">
      <w:pPr>
        <w:spacing w:line="240" w:lineRule="auto"/>
        <w:rPr>
          <w:rFonts w:ascii="Times New Roman" w:hAnsi="Times New Roman" w:cs="Times New Roman"/>
          <w:sz w:val="24"/>
          <w:szCs w:val="24"/>
        </w:rPr>
      </w:pPr>
      <w:proofErr w:type="gramStart"/>
      <w:r w:rsidRPr="00BF60F3">
        <w:rPr>
          <w:rFonts w:ascii="Times New Roman" w:hAnsi="Times New Roman" w:cs="Times New Roman"/>
          <w:sz w:val="24"/>
          <w:szCs w:val="24"/>
        </w:rPr>
        <w:t>Miles, M. B. and</w:t>
      </w:r>
      <w:r w:rsidR="000647A5" w:rsidRPr="00BF60F3">
        <w:rPr>
          <w:rFonts w:ascii="Times New Roman" w:hAnsi="Times New Roman" w:cs="Times New Roman"/>
          <w:sz w:val="24"/>
          <w:szCs w:val="24"/>
        </w:rPr>
        <w:t xml:space="preserve"> </w:t>
      </w:r>
      <w:proofErr w:type="spellStart"/>
      <w:r w:rsidR="000647A5" w:rsidRPr="00BF60F3">
        <w:rPr>
          <w:rFonts w:ascii="Times New Roman" w:hAnsi="Times New Roman" w:cs="Times New Roman"/>
          <w:sz w:val="24"/>
          <w:szCs w:val="24"/>
        </w:rPr>
        <w:t>Huberman</w:t>
      </w:r>
      <w:proofErr w:type="spellEnd"/>
      <w:r w:rsidR="000647A5" w:rsidRPr="00BF60F3">
        <w:rPr>
          <w:rFonts w:ascii="Times New Roman" w:hAnsi="Times New Roman" w:cs="Times New Roman"/>
          <w:sz w:val="24"/>
          <w:szCs w:val="24"/>
        </w:rPr>
        <w:t xml:space="preserve">, M. (1994) </w:t>
      </w:r>
      <w:r w:rsidR="000647A5" w:rsidRPr="00BF60F3">
        <w:rPr>
          <w:rFonts w:ascii="Times New Roman" w:hAnsi="Times New Roman" w:cs="Times New Roman"/>
          <w:i/>
          <w:sz w:val="24"/>
          <w:szCs w:val="24"/>
        </w:rPr>
        <w:t>Qualitative Data Analysis: An Expanded Sourcebook</w:t>
      </w:r>
      <w:r w:rsidR="000647A5" w:rsidRPr="00BF60F3">
        <w:rPr>
          <w:rFonts w:ascii="Times New Roman" w:hAnsi="Times New Roman" w:cs="Times New Roman"/>
          <w:sz w:val="24"/>
          <w:szCs w:val="24"/>
        </w:rPr>
        <w:t>.</w:t>
      </w:r>
      <w:proofErr w:type="gramEnd"/>
      <w:r w:rsidR="000647A5" w:rsidRPr="00BF60F3">
        <w:rPr>
          <w:rFonts w:ascii="Times New Roman" w:hAnsi="Times New Roman" w:cs="Times New Roman"/>
          <w:sz w:val="24"/>
          <w:szCs w:val="24"/>
        </w:rPr>
        <w:t xml:space="preserve"> Thousand Oaks, CA: Sage.</w:t>
      </w:r>
    </w:p>
    <w:p w:rsidR="00A0136F" w:rsidRPr="00BF60F3" w:rsidRDefault="00A0136F" w:rsidP="00E36EE2">
      <w:pPr>
        <w:spacing w:line="240" w:lineRule="auto"/>
        <w:rPr>
          <w:rFonts w:ascii="Times New Roman" w:hAnsi="Times New Roman" w:cs="Times New Roman"/>
          <w:sz w:val="24"/>
          <w:szCs w:val="24"/>
        </w:rPr>
      </w:pPr>
      <w:r w:rsidRPr="00BF60F3">
        <w:rPr>
          <w:rFonts w:ascii="Times New Roman" w:hAnsi="Times New Roman" w:cs="Times New Roman"/>
          <w:sz w:val="24"/>
          <w:szCs w:val="24"/>
        </w:rPr>
        <w:t xml:space="preserve">Mortenson, S. (2006) ‘Cultural Differences and Similarities in Seeking Social Support as a Response to Academic Failure: A Comparison of American and Chinese College Students’. </w:t>
      </w:r>
      <w:proofErr w:type="gramStart"/>
      <w:r w:rsidRPr="00BF60F3">
        <w:rPr>
          <w:rFonts w:ascii="Times New Roman" w:hAnsi="Times New Roman" w:cs="Times New Roman"/>
          <w:i/>
          <w:sz w:val="24"/>
          <w:szCs w:val="24"/>
        </w:rPr>
        <w:t>Communication Education.</w:t>
      </w:r>
      <w:proofErr w:type="gramEnd"/>
      <w:r w:rsidRPr="00BF60F3">
        <w:rPr>
          <w:rFonts w:ascii="Times New Roman" w:hAnsi="Times New Roman" w:cs="Times New Roman"/>
          <w:i/>
          <w:sz w:val="24"/>
          <w:szCs w:val="24"/>
        </w:rPr>
        <w:t xml:space="preserve"> </w:t>
      </w:r>
      <w:r w:rsidRPr="00BF60F3">
        <w:rPr>
          <w:rFonts w:ascii="Times New Roman" w:hAnsi="Times New Roman" w:cs="Times New Roman"/>
          <w:sz w:val="24"/>
          <w:szCs w:val="24"/>
        </w:rPr>
        <w:t>55 (2): 127-146.</w:t>
      </w:r>
    </w:p>
    <w:p w:rsidR="000647A5" w:rsidRPr="00BF60F3" w:rsidRDefault="000647A5" w:rsidP="00E36EE2">
      <w:pPr>
        <w:spacing w:line="240" w:lineRule="auto"/>
        <w:rPr>
          <w:rFonts w:ascii="Times New Roman" w:hAnsi="Times New Roman" w:cs="Times New Roman"/>
          <w:sz w:val="24"/>
          <w:szCs w:val="24"/>
          <w:lang w:val="en-GB"/>
        </w:rPr>
      </w:pPr>
      <w:r w:rsidRPr="00BF60F3">
        <w:rPr>
          <w:rFonts w:ascii="Times New Roman" w:hAnsi="Times New Roman" w:cs="Times New Roman"/>
          <w:sz w:val="24"/>
          <w:szCs w:val="24"/>
          <w:lang w:val="en-GB"/>
        </w:rPr>
        <w:t>Patrick, C.</w:t>
      </w:r>
      <w:r w:rsidR="00977FDE" w:rsidRPr="00BF60F3">
        <w:rPr>
          <w:rFonts w:ascii="Times New Roman" w:hAnsi="Times New Roman" w:cs="Times New Roman"/>
          <w:sz w:val="24"/>
          <w:szCs w:val="24"/>
          <w:lang w:val="en-GB"/>
        </w:rPr>
        <w:t xml:space="preserve"> </w:t>
      </w:r>
      <w:r w:rsidRPr="00BF60F3">
        <w:rPr>
          <w:rFonts w:ascii="Times New Roman" w:hAnsi="Times New Roman" w:cs="Times New Roman"/>
          <w:sz w:val="24"/>
          <w:szCs w:val="24"/>
          <w:lang w:val="en-GB"/>
        </w:rPr>
        <w:t xml:space="preserve">L. (2011) </w:t>
      </w:r>
      <w:r w:rsidR="00C6018C" w:rsidRPr="00BF60F3">
        <w:rPr>
          <w:rFonts w:ascii="Times New Roman" w:hAnsi="Times New Roman" w:cs="Times New Roman"/>
          <w:sz w:val="24"/>
          <w:szCs w:val="24"/>
          <w:lang w:val="en-GB"/>
        </w:rPr>
        <w:t>‘</w:t>
      </w:r>
      <w:r w:rsidRPr="00BF60F3">
        <w:rPr>
          <w:rFonts w:ascii="Times New Roman" w:hAnsi="Times New Roman" w:cs="Times New Roman"/>
          <w:sz w:val="24"/>
          <w:szCs w:val="24"/>
          <w:lang w:val="en-GB"/>
        </w:rPr>
        <w:t>Student evaluations of teaching: effects of the Big Five personality traits, grades and the validity hypothesis</w:t>
      </w:r>
      <w:r w:rsidR="00C6018C" w:rsidRPr="00BF60F3">
        <w:rPr>
          <w:rFonts w:ascii="Times New Roman" w:hAnsi="Times New Roman" w:cs="Times New Roman"/>
          <w:sz w:val="24"/>
          <w:szCs w:val="24"/>
          <w:lang w:val="en-GB"/>
        </w:rPr>
        <w:t>’</w:t>
      </w:r>
      <w:r w:rsidRPr="00BF60F3">
        <w:rPr>
          <w:rFonts w:ascii="Times New Roman" w:hAnsi="Times New Roman" w:cs="Times New Roman"/>
          <w:sz w:val="24"/>
          <w:szCs w:val="24"/>
          <w:lang w:val="en-GB"/>
        </w:rPr>
        <w:t xml:space="preserve">. </w:t>
      </w:r>
      <w:proofErr w:type="gramStart"/>
      <w:r w:rsidRPr="00BF60F3">
        <w:rPr>
          <w:rFonts w:ascii="Times New Roman" w:hAnsi="Times New Roman" w:cs="Times New Roman"/>
          <w:i/>
          <w:sz w:val="24"/>
          <w:szCs w:val="24"/>
          <w:lang w:val="en-GB"/>
        </w:rPr>
        <w:t>Assessment &amp; Evaluation in Higher Education</w:t>
      </w:r>
      <w:r w:rsidR="00977FDE" w:rsidRPr="00BF60F3">
        <w:rPr>
          <w:rFonts w:ascii="Times New Roman" w:hAnsi="Times New Roman" w:cs="Times New Roman"/>
          <w:i/>
          <w:sz w:val="24"/>
          <w:szCs w:val="24"/>
          <w:lang w:val="en-GB"/>
        </w:rPr>
        <w:t>.</w:t>
      </w:r>
      <w:proofErr w:type="gramEnd"/>
      <w:r w:rsidRPr="00BF60F3">
        <w:rPr>
          <w:rFonts w:ascii="Times New Roman" w:hAnsi="Times New Roman" w:cs="Times New Roman"/>
          <w:i/>
          <w:sz w:val="24"/>
          <w:szCs w:val="24"/>
          <w:lang w:val="en-GB"/>
        </w:rPr>
        <w:t xml:space="preserve"> </w:t>
      </w:r>
      <w:r w:rsidRPr="00BF60F3">
        <w:rPr>
          <w:rFonts w:ascii="Times New Roman" w:hAnsi="Times New Roman" w:cs="Times New Roman"/>
          <w:sz w:val="24"/>
          <w:szCs w:val="24"/>
          <w:lang w:val="en-GB"/>
        </w:rPr>
        <w:t>36</w:t>
      </w:r>
      <w:r w:rsidR="00977FDE" w:rsidRPr="00BF60F3">
        <w:rPr>
          <w:rFonts w:ascii="Times New Roman" w:hAnsi="Times New Roman" w:cs="Times New Roman"/>
          <w:sz w:val="24"/>
          <w:szCs w:val="24"/>
          <w:lang w:val="en-GB"/>
        </w:rPr>
        <w:t xml:space="preserve"> </w:t>
      </w:r>
      <w:r w:rsidRPr="00BF60F3">
        <w:rPr>
          <w:rFonts w:ascii="Times New Roman" w:hAnsi="Times New Roman" w:cs="Times New Roman"/>
          <w:sz w:val="24"/>
          <w:szCs w:val="24"/>
          <w:lang w:val="en-GB"/>
        </w:rPr>
        <w:t>(2)</w:t>
      </w:r>
      <w:r w:rsidR="00977FDE" w:rsidRPr="00BF60F3">
        <w:rPr>
          <w:rFonts w:ascii="Times New Roman" w:hAnsi="Times New Roman" w:cs="Times New Roman"/>
          <w:sz w:val="24"/>
          <w:szCs w:val="24"/>
          <w:lang w:val="en-GB"/>
        </w:rPr>
        <w:t>:</w:t>
      </w:r>
      <w:r w:rsidRPr="00BF60F3">
        <w:rPr>
          <w:rFonts w:ascii="Times New Roman" w:hAnsi="Times New Roman" w:cs="Times New Roman"/>
          <w:sz w:val="24"/>
          <w:szCs w:val="24"/>
          <w:lang w:val="en-GB"/>
        </w:rPr>
        <w:t xml:space="preserve"> 239-249.</w:t>
      </w:r>
    </w:p>
    <w:p w:rsidR="000647A5" w:rsidRPr="00BF60F3" w:rsidRDefault="000647A5" w:rsidP="00E36EE2">
      <w:pPr>
        <w:spacing w:line="240" w:lineRule="auto"/>
        <w:rPr>
          <w:rFonts w:ascii="Times New Roman" w:hAnsi="Times New Roman" w:cs="Times New Roman"/>
          <w:sz w:val="24"/>
          <w:szCs w:val="24"/>
          <w:lang w:val="en-GB"/>
        </w:rPr>
      </w:pPr>
      <w:proofErr w:type="spellStart"/>
      <w:r w:rsidRPr="00BF60F3">
        <w:rPr>
          <w:rFonts w:ascii="Times New Roman" w:hAnsi="Times New Roman" w:cs="Times New Roman"/>
          <w:sz w:val="24"/>
          <w:szCs w:val="24"/>
          <w:lang w:val="en-GB"/>
        </w:rPr>
        <w:t>Peelo</w:t>
      </w:r>
      <w:proofErr w:type="spellEnd"/>
      <w:r w:rsidRPr="00BF60F3">
        <w:rPr>
          <w:rFonts w:ascii="Times New Roman" w:hAnsi="Times New Roman" w:cs="Times New Roman"/>
          <w:sz w:val="24"/>
          <w:szCs w:val="24"/>
          <w:lang w:val="en-GB"/>
        </w:rPr>
        <w:t xml:space="preserve">, M. (2002) </w:t>
      </w:r>
      <w:r w:rsidR="00C6018C" w:rsidRPr="00BF60F3">
        <w:rPr>
          <w:rFonts w:ascii="Times New Roman" w:hAnsi="Times New Roman" w:cs="Times New Roman"/>
          <w:sz w:val="24"/>
          <w:szCs w:val="24"/>
          <w:lang w:val="en-GB"/>
        </w:rPr>
        <w:t xml:space="preserve">Setting the scene. In </w:t>
      </w:r>
      <w:proofErr w:type="spellStart"/>
      <w:r w:rsidR="00977FDE" w:rsidRPr="00BF60F3">
        <w:rPr>
          <w:rFonts w:ascii="Times New Roman" w:hAnsi="Times New Roman" w:cs="Times New Roman"/>
          <w:sz w:val="24"/>
          <w:szCs w:val="24"/>
          <w:lang w:val="en-GB"/>
        </w:rPr>
        <w:t>Peelo</w:t>
      </w:r>
      <w:proofErr w:type="spellEnd"/>
      <w:r w:rsidR="00C6018C" w:rsidRPr="00BF60F3">
        <w:rPr>
          <w:rFonts w:ascii="Times New Roman" w:hAnsi="Times New Roman" w:cs="Times New Roman"/>
          <w:sz w:val="24"/>
          <w:szCs w:val="24"/>
          <w:lang w:val="en-GB"/>
        </w:rPr>
        <w:t>, M.</w:t>
      </w:r>
      <w:r w:rsidR="00977FDE" w:rsidRPr="00BF60F3">
        <w:rPr>
          <w:rFonts w:ascii="Times New Roman" w:hAnsi="Times New Roman" w:cs="Times New Roman"/>
          <w:sz w:val="24"/>
          <w:szCs w:val="24"/>
          <w:lang w:val="en-GB"/>
        </w:rPr>
        <w:t xml:space="preserve"> and</w:t>
      </w:r>
      <w:r w:rsidR="00C6018C" w:rsidRPr="00BF60F3">
        <w:rPr>
          <w:rFonts w:ascii="Times New Roman" w:hAnsi="Times New Roman" w:cs="Times New Roman"/>
          <w:sz w:val="24"/>
          <w:szCs w:val="24"/>
          <w:lang w:val="en-GB"/>
        </w:rPr>
        <w:t xml:space="preserve"> </w:t>
      </w:r>
      <w:r w:rsidRPr="00BF60F3">
        <w:rPr>
          <w:rFonts w:ascii="Times New Roman" w:hAnsi="Times New Roman" w:cs="Times New Roman"/>
          <w:sz w:val="24"/>
          <w:szCs w:val="24"/>
          <w:lang w:val="en-GB"/>
        </w:rPr>
        <w:t>Wareham</w:t>
      </w:r>
      <w:r w:rsidR="00C6018C" w:rsidRPr="00BF60F3">
        <w:rPr>
          <w:rFonts w:ascii="Times New Roman" w:hAnsi="Times New Roman" w:cs="Times New Roman"/>
          <w:sz w:val="24"/>
          <w:szCs w:val="24"/>
          <w:lang w:val="en-GB"/>
        </w:rPr>
        <w:t>, T. (</w:t>
      </w:r>
      <w:proofErr w:type="spellStart"/>
      <w:proofErr w:type="gramStart"/>
      <w:r w:rsidR="00C6018C" w:rsidRPr="00BF60F3">
        <w:rPr>
          <w:rFonts w:ascii="Times New Roman" w:hAnsi="Times New Roman" w:cs="Times New Roman"/>
          <w:sz w:val="24"/>
          <w:szCs w:val="24"/>
          <w:lang w:val="en-GB"/>
        </w:rPr>
        <w:t>e</w:t>
      </w:r>
      <w:r w:rsidRPr="00BF60F3">
        <w:rPr>
          <w:rFonts w:ascii="Times New Roman" w:hAnsi="Times New Roman" w:cs="Times New Roman"/>
          <w:sz w:val="24"/>
          <w:szCs w:val="24"/>
          <w:lang w:val="en-GB"/>
        </w:rPr>
        <w:t>ds</w:t>
      </w:r>
      <w:proofErr w:type="spellEnd"/>
      <w:proofErr w:type="gramEnd"/>
      <w:r w:rsidR="00C6018C" w:rsidRPr="00BF60F3">
        <w:rPr>
          <w:rFonts w:ascii="Times New Roman" w:hAnsi="Times New Roman" w:cs="Times New Roman"/>
          <w:sz w:val="24"/>
          <w:szCs w:val="24"/>
          <w:lang w:val="en-GB"/>
        </w:rPr>
        <w:t>)</w:t>
      </w:r>
      <w:r w:rsidRPr="00BF60F3">
        <w:rPr>
          <w:rFonts w:ascii="Times New Roman" w:hAnsi="Times New Roman" w:cs="Times New Roman"/>
          <w:sz w:val="24"/>
          <w:szCs w:val="24"/>
          <w:lang w:val="en-GB"/>
        </w:rPr>
        <w:t xml:space="preserve"> </w:t>
      </w:r>
      <w:r w:rsidRPr="00BF60F3">
        <w:rPr>
          <w:rFonts w:ascii="Times New Roman" w:hAnsi="Times New Roman" w:cs="Times New Roman"/>
          <w:i/>
          <w:sz w:val="24"/>
          <w:szCs w:val="24"/>
          <w:lang w:val="en-GB"/>
        </w:rPr>
        <w:t>Failing students in higher education.</w:t>
      </w:r>
      <w:r w:rsidRPr="00BF60F3">
        <w:rPr>
          <w:rFonts w:ascii="Times New Roman" w:hAnsi="Times New Roman" w:cs="Times New Roman"/>
          <w:sz w:val="24"/>
          <w:szCs w:val="24"/>
          <w:lang w:val="en-GB"/>
        </w:rPr>
        <w:t xml:space="preserve"> Buckingham: Open University Press.</w:t>
      </w:r>
    </w:p>
    <w:p w:rsidR="006C21CE" w:rsidRPr="00BF60F3" w:rsidRDefault="00977FDE" w:rsidP="00E36EE2">
      <w:pPr>
        <w:spacing w:line="240" w:lineRule="auto"/>
        <w:rPr>
          <w:rFonts w:ascii="Times New Roman" w:hAnsi="Times New Roman" w:cs="Times New Roman"/>
          <w:sz w:val="24"/>
          <w:szCs w:val="24"/>
          <w:lang w:val="en-GB"/>
        </w:rPr>
      </w:pPr>
      <w:proofErr w:type="spellStart"/>
      <w:proofErr w:type="gramStart"/>
      <w:r w:rsidRPr="00BF60F3">
        <w:rPr>
          <w:rFonts w:ascii="Times New Roman" w:hAnsi="Times New Roman" w:cs="Times New Roman"/>
          <w:sz w:val="24"/>
          <w:szCs w:val="24"/>
          <w:lang w:val="en-GB"/>
        </w:rPr>
        <w:t>Piccinin</w:t>
      </w:r>
      <w:proofErr w:type="spellEnd"/>
      <w:r w:rsidRPr="00BF60F3">
        <w:rPr>
          <w:rFonts w:ascii="Times New Roman" w:hAnsi="Times New Roman" w:cs="Times New Roman"/>
          <w:sz w:val="24"/>
          <w:szCs w:val="24"/>
          <w:lang w:val="en-GB"/>
        </w:rPr>
        <w:t xml:space="preserve">, S., </w:t>
      </w:r>
      <w:proofErr w:type="spellStart"/>
      <w:r w:rsidRPr="00BF60F3">
        <w:rPr>
          <w:rFonts w:ascii="Times New Roman" w:hAnsi="Times New Roman" w:cs="Times New Roman"/>
          <w:sz w:val="24"/>
          <w:szCs w:val="24"/>
          <w:lang w:val="en-GB"/>
        </w:rPr>
        <w:t>Cristi</w:t>
      </w:r>
      <w:proofErr w:type="spellEnd"/>
      <w:r w:rsidRPr="00BF60F3">
        <w:rPr>
          <w:rFonts w:ascii="Times New Roman" w:hAnsi="Times New Roman" w:cs="Times New Roman"/>
          <w:sz w:val="24"/>
          <w:szCs w:val="24"/>
          <w:lang w:val="en-GB"/>
        </w:rPr>
        <w:t>, C. and</w:t>
      </w:r>
      <w:r w:rsidR="006C21CE" w:rsidRPr="00BF60F3">
        <w:rPr>
          <w:rFonts w:ascii="Times New Roman" w:hAnsi="Times New Roman" w:cs="Times New Roman"/>
          <w:sz w:val="24"/>
          <w:szCs w:val="24"/>
          <w:lang w:val="en-GB"/>
        </w:rPr>
        <w:t xml:space="preserve"> McCoy, M. (1999) </w:t>
      </w:r>
      <w:r w:rsidR="00C6018C" w:rsidRPr="00BF60F3">
        <w:rPr>
          <w:rFonts w:ascii="Times New Roman" w:hAnsi="Times New Roman" w:cs="Times New Roman"/>
          <w:sz w:val="24"/>
          <w:szCs w:val="24"/>
          <w:lang w:val="en-GB"/>
        </w:rPr>
        <w:t>‘</w:t>
      </w:r>
      <w:r w:rsidR="006C21CE" w:rsidRPr="00BF60F3">
        <w:rPr>
          <w:rFonts w:ascii="Times New Roman" w:hAnsi="Times New Roman" w:cs="Times New Roman"/>
          <w:sz w:val="24"/>
          <w:szCs w:val="24"/>
          <w:lang w:val="en-GB"/>
        </w:rPr>
        <w:t>The impact of individual consultation on student ratings of teaching</w:t>
      </w:r>
      <w:r w:rsidR="00C6018C" w:rsidRPr="00BF60F3">
        <w:rPr>
          <w:rFonts w:ascii="Times New Roman" w:hAnsi="Times New Roman" w:cs="Times New Roman"/>
          <w:sz w:val="24"/>
          <w:szCs w:val="24"/>
          <w:lang w:val="en-GB"/>
        </w:rPr>
        <w:t>’</w:t>
      </w:r>
      <w:r w:rsidR="006C21CE" w:rsidRPr="00BF60F3">
        <w:rPr>
          <w:rFonts w:ascii="Times New Roman" w:hAnsi="Times New Roman" w:cs="Times New Roman"/>
          <w:sz w:val="24"/>
          <w:szCs w:val="24"/>
          <w:lang w:val="en-GB"/>
        </w:rPr>
        <w:t>.</w:t>
      </w:r>
      <w:proofErr w:type="gramEnd"/>
      <w:r w:rsidR="006C21CE" w:rsidRPr="00BF60F3">
        <w:rPr>
          <w:rFonts w:ascii="Times New Roman" w:hAnsi="Times New Roman" w:cs="Times New Roman"/>
          <w:sz w:val="24"/>
          <w:szCs w:val="24"/>
          <w:lang w:val="en-GB"/>
        </w:rPr>
        <w:t xml:space="preserve"> </w:t>
      </w:r>
      <w:proofErr w:type="gramStart"/>
      <w:r w:rsidR="006C21CE" w:rsidRPr="00BF60F3">
        <w:rPr>
          <w:rFonts w:ascii="Times New Roman" w:hAnsi="Times New Roman" w:cs="Times New Roman"/>
          <w:i/>
          <w:sz w:val="24"/>
          <w:szCs w:val="24"/>
          <w:lang w:val="en-GB"/>
        </w:rPr>
        <w:t>International Journal for Academic Development</w:t>
      </w:r>
      <w:r w:rsidRPr="00BF60F3">
        <w:rPr>
          <w:rFonts w:ascii="Times New Roman" w:hAnsi="Times New Roman" w:cs="Times New Roman"/>
          <w:sz w:val="24"/>
          <w:szCs w:val="24"/>
          <w:lang w:val="en-GB"/>
        </w:rPr>
        <w:t>.</w:t>
      </w:r>
      <w:proofErr w:type="gramEnd"/>
      <w:r w:rsidR="006C21CE" w:rsidRPr="00BF60F3">
        <w:rPr>
          <w:rFonts w:ascii="Times New Roman" w:hAnsi="Times New Roman" w:cs="Times New Roman"/>
          <w:sz w:val="24"/>
          <w:szCs w:val="24"/>
          <w:lang w:val="en-GB"/>
        </w:rPr>
        <w:t xml:space="preserve"> 4</w:t>
      </w:r>
      <w:r w:rsidR="004C7AB9" w:rsidRPr="00BF60F3">
        <w:rPr>
          <w:rFonts w:ascii="Times New Roman" w:hAnsi="Times New Roman" w:cs="Times New Roman"/>
          <w:sz w:val="24"/>
          <w:szCs w:val="24"/>
          <w:lang w:val="en-GB"/>
        </w:rPr>
        <w:t xml:space="preserve"> </w:t>
      </w:r>
      <w:r w:rsidR="006C21CE" w:rsidRPr="00BF60F3">
        <w:rPr>
          <w:rFonts w:ascii="Times New Roman" w:hAnsi="Times New Roman" w:cs="Times New Roman"/>
          <w:sz w:val="24"/>
          <w:szCs w:val="24"/>
          <w:lang w:val="en-GB"/>
        </w:rPr>
        <w:t>(2)</w:t>
      </w:r>
      <w:r w:rsidR="004C7AB9" w:rsidRPr="00BF60F3">
        <w:rPr>
          <w:rFonts w:ascii="Times New Roman" w:hAnsi="Times New Roman" w:cs="Times New Roman"/>
          <w:sz w:val="24"/>
          <w:szCs w:val="24"/>
          <w:lang w:val="en-GB"/>
        </w:rPr>
        <w:t>:</w:t>
      </w:r>
      <w:r w:rsidR="006C21CE" w:rsidRPr="00BF60F3">
        <w:rPr>
          <w:rFonts w:ascii="Times New Roman" w:hAnsi="Times New Roman" w:cs="Times New Roman"/>
          <w:sz w:val="24"/>
          <w:szCs w:val="24"/>
          <w:lang w:val="en-GB"/>
        </w:rPr>
        <w:t xml:space="preserve"> 75-88.</w:t>
      </w:r>
    </w:p>
    <w:p w:rsidR="000647A5" w:rsidRPr="00BF60F3" w:rsidRDefault="00977FDE" w:rsidP="00E36EE2">
      <w:pPr>
        <w:spacing w:line="240" w:lineRule="auto"/>
        <w:rPr>
          <w:rFonts w:ascii="Times New Roman" w:hAnsi="Times New Roman" w:cs="Times New Roman"/>
          <w:sz w:val="24"/>
          <w:lang w:val="en-GB"/>
        </w:rPr>
      </w:pPr>
      <w:proofErr w:type="spellStart"/>
      <w:proofErr w:type="gramStart"/>
      <w:r w:rsidRPr="00BF60F3">
        <w:rPr>
          <w:rFonts w:ascii="Times New Roman" w:hAnsi="Times New Roman" w:cs="Times New Roman"/>
          <w:sz w:val="24"/>
          <w:szCs w:val="24"/>
          <w:lang w:val="en-GB"/>
        </w:rPr>
        <w:t>Reneland</w:t>
      </w:r>
      <w:proofErr w:type="spellEnd"/>
      <w:r w:rsidRPr="00BF60F3">
        <w:rPr>
          <w:rFonts w:ascii="Times New Roman" w:hAnsi="Times New Roman" w:cs="Times New Roman"/>
          <w:sz w:val="24"/>
          <w:szCs w:val="24"/>
          <w:lang w:val="en-GB"/>
        </w:rPr>
        <w:t>, L. and</w:t>
      </w:r>
      <w:r w:rsidR="000647A5" w:rsidRPr="00BF60F3">
        <w:rPr>
          <w:rFonts w:ascii="Times New Roman" w:hAnsi="Times New Roman" w:cs="Times New Roman"/>
          <w:sz w:val="24"/>
          <w:szCs w:val="24"/>
          <w:lang w:val="en-GB"/>
        </w:rPr>
        <w:t xml:space="preserve"> </w:t>
      </w:r>
      <w:proofErr w:type="spellStart"/>
      <w:r w:rsidR="000647A5" w:rsidRPr="00BF60F3">
        <w:rPr>
          <w:rFonts w:ascii="Times New Roman" w:hAnsi="Times New Roman" w:cs="Times New Roman"/>
          <w:sz w:val="24"/>
          <w:szCs w:val="24"/>
          <w:lang w:val="en-GB"/>
        </w:rPr>
        <w:t>Ahlbäck</w:t>
      </w:r>
      <w:proofErr w:type="spellEnd"/>
      <w:r w:rsidR="000647A5" w:rsidRPr="00BF60F3">
        <w:rPr>
          <w:rFonts w:ascii="Times New Roman" w:hAnsi="Times New Roman" w:cs="Times New Roman"/>
          <w:sz w:val="24"/>
          <w:szCs w:val="24"/>
          <w:lang w:val="en-GB"/>
        </w:rPr>
        <w:t xml:space="preserve">, T. (2003) </w:t>
      </w:r>
      <w:r w:rsidR="000647A5" w:rsidRPr="00BF60F3">
        <w:rPr>
          <w:rFonts w:ascii="Times New Roman" w:hAnsi="Times New Roman" w:cs="Times New Roman"/>
          <w:i/>
          <w:sz w:val="24"/>
          <w:szCs w:val="24"/>
          <w:lang w:val="en-GB"/>
        </w:rPr>
        <w:t>Quality interaction, collaboration and web-based learning: A study of a teacher training.</w:t>
      </w:r>
      <w:proofErr w:type="gramEnd"/>
      <w:r w:rsidR="000647A5" w:rsidRPr="00BF60F3">
        <w:rPr>
          <w:rFonts w:ascii="Times New Roman" w:hAnsi="Times New Roman" w:cs="Times New Roman"/>
          <w:i/>
          <w:sz w:val="24"/>
          <w:szCs w:val="24"/>
          <w:lang w:val="en-GB"/>
        </w:rPr>
        <w:t xml:space="preserve"> </w:t>
      </w:r>
      <w:proofErr w:type="gramStart"/>
      <w:r w:rsidR="000647A5" w:rsidRPr="00BF60F3">
        <w:rPr>
          <w:rFonts w:ascii="Times New Roman" w:hAnsi="Times New Roman" w:cs="Times New Roman"/>
          <w:sz w:val="24"/>
          <w:szCs w:val="24"/>
          <w:lang w:val="en-GB"/>
        </w:rPr>
        <w:t xml:space="preserve">Proceedings of the annual HERDSA conference, July 3-6, 2003, </w:t>
      </w:r>
      <w:r w:rsidR="000647A5" w:rsidRPr="00BF60F3">
        <w:rPr>
          <w:rFonts w:ascii="Times New Roman" w:hAnsi="Times New Roman" w:cs="Times New Roman"/>
          <w:sz w:val="24"/>
          <w:lang w:val="en-GB"/>
        </w:rPr>
        <w:t>Christchurch, New Zealand</w:t>
      </w:r>
      <w:r w:rsidR="00E46819" w:rsidRPr="00BF60F3">
        <w:rPr>
          <w:rFonts w:ascii="Times New Roman" w:hAnsi="Times New Roman" w:cs="Times New Roman"/>
          <w:sz w:val="24"/>
          <w:lang w:val="en-GB"/>
        </w:rPr>
        <w:t>.</w:t>
      </w:r>
      <w:proofErr w:type="gramEnd"/>
    </w:p>
    <w:p w:rsidR="000647A5" w:rsidRPr="00BF60F3" w:rsidRDefault="00977FDE" w:rsidP="00E36EE2">
      <w:pPr>
        <w:spacing w:line="240" w:lineRule="auto"/>
        <w:rPr>
          <w:rFonts w:ascii="Times New Roman" w:hAnsi="Times New Roman" w:cs="Times New Roman"/>
          <w:sz w:val="24"/>
        </w:rPr>
      </w:pPr>
      <w:r w:rsidRPr="00BF60F3">
        <w:rPr>
          <w:rFonts w:ascii="Times New Roman" w:hAnsi="Times New Roman" w:cs="Times New Roman"/>
          <w:sz w:val="24"/>
        </w:rPr>
        <w:lastRenderedPageBreak/>
        <w:t>Richardson, J., Slater, J. and</w:t>
      </w:r>
      <w:r w:rsidR="000647A5" w:rsidRPr="00BF60F3">
        <w:rPr>
          <w:rFonts w:ascii="Times New Roman" w:hAnsi="Times New Roman" w:cs="Times New Roman"/>
          <w:sz w:val="24"/>
        </w:rPr>
        <w:t xml:space="preserve"> Wilson, J. (2007) </w:t>
      </w:r>
      <w:r w:rsidR="00C6018C" w:rsidRPr="00BF60F3">
        <w:rPr>
          <w:rFonts w:ascii="Times New Roman" w:hAnsi="Times New Roman" w:cs="Times New Roman"/>
          <w:sz w:val="24"/>
        </w:rPr>
        <w:t>‘</w:t>
      </w:r>
      <w:proofErr w:type="gramStart"/>
      <w:r w:rsidR="000647A5" w:rsidRPr="00BF60F3">
        <w:rPr>
          <w:rFonts w:ascii="Times New Roman" w:hAnsi="Times New Roman" w:cs="Times New Roman"/>
          <w:sz w:val="24"/>
        </w:rPr>
        <w:t>The</w:t>
      </w:r>
      <w:proofErr w:type="gramEnd"/>
      <w:r w:rsidR="000647A5" w:rsidRPr="00BF60F3">
        <w:rPr>
          <w:rFonts w:ascii="Times New Roman" w:hAnsi="Times New Roman" w:cs="Times New Roman"/>
          <w:sz w:val="24"/>
        </w:rPr>
        <w:t xml:space="preserve"> national student survey: Development, findings and implications</w:t>
      </w:r>
      <w:r w:rsidR="00C6018C" w:rsidRPr="00BF60F3">
        <w:rPr>
          <w:rFonts w:ascii="Times New Roman" w:hAnsi="Times New Roman" w:cs="Times New Roman"/>
          <w:sz w:val="24"/>
        </w:rPr>
        <w:t>’</w:t>
      </w:r>
      <w:r w:rsidR="000647A5" w:rsidRPr="00BF60F3">
        <w:rPr>
          <w:rFonts w:ascii="Times New Roman" w:hAnsi="Times New Roman" w:cs="Times New Roman"/>
          <w:sz w:val="24"/>
        </w:rPr>
        <w:t xml:space="preserve">. </w:t>
      </w:r>
      <w:proofErr w:type="gramStart"/>
      <w:r w:rsidR="000647A5" w:rsidRPr="00BF60F3">
        <w:rPr>
          <w:rFonts w:ascii="Times New Roman" w:hAnsi="Times New Roman" w:cs="Times New Roman"/>
          <w:i/>
          <w:sz w:val="24"/>
        </w:rPr>
        <w:t>Studies in Higher Education</w:t>
      </w:r>
      <w:r w:rsidRPr="00BF60F3">
        <w:rPr>
          <w:rFonts w:ascii="Times New Roman" w:hAnsi="Times New Roman" w:cs="Times New Roman"/>
          <w:i/>
          <w:sz w:val="24"/>
        </w:rPr>
        <w:t>.</w:t>
      </w:r>
      <w:proofErr w:type="gramEnd"/>
      <w:r w:rsidR="000647A5" w:rsidRPr="00BF60F3">
        <w:rPr>
          <w:rFonts w:ascii="Times New Roman" w:hAnsi="Times New Roman" w:cs="Times New Roman"/>
          <w:sz w:val="24"/>
        </w:rPr>
        <w:t xml:space="preserve"> 32</w:t>
      </w:r>
      <w:r w:rsidRPr="00BF60F3">
        <w:rPr>
          <w:rFonts w:ascii="Times New Roman" w:hAnsi="Times New Roman" w:cs="Times New Roman"/>
          <w:sz w:val="24"/>
        </w:rPr>
        <w:t xml:space="preserve"> </w:t>
      </w:r>
      <w:r w:rsidR="000647A5" w:rsidRPr="00BF60F3">
        <w:rPr>
          <w:rFonts w:ascii="Times New Roman" w:hAnsi="Times New Roman" w:cs="Times New Roman"/>
          <w:sz w:val="24"/>
        </w:rPr>
        <w:t>(5)</w:t>
      </w:r>
      <w:r w:rsidRPr="00BF60F3">
        <w:rPr>
          <w:rFonts w:ascii="Times New Roman" w:hAnsi="Times New Roman" w:cs="Times New Roman"/>
          <w:sz w:val="24"/>
        </w:rPr>
        <w:t>:</w:t>
      </w:r>
      <w:r w:rsidR="000647A5" w:rsidRPr="00BF60F3">
        <w:rPr>
          <w:rFonts w:ascii="Times New Roman" w:hAnsi="Times New Roman" w:cs="Times New Roman"/>
          <w:sz w:val="24"/>
        </w:rPr>
        <w:t xml:space="preserve"> 557-580.</w:t>
      </w:r>
    </w:p>
    <w:p w:rsidR="000647A5" w:rsidRPr="00BF60F3" w:rsidRDefault="000647A5" w:rsidP="00E36EE2">
      <w:pPr>
        <w:spacing w:line="240" w:lineRule="auto"/>
        <w:rPr>
          <w:rFonts w:ascii="Times New Roman" w:hAnsi="Times New Roman" w:cs="Times New Roman"/>
          <w:sz w:val="24"/>
        </w:rPr>
      </w:pPr>
      <w:r w:rsidRPr="00BF60F3">
        <w:rPr>
          <w:rFonts w:ascii="Times New Roman" w:hAnsi="Times New Roman" w:cs="Times New Roman"/>
          <w:sz w:val="24"/>
        </w:rPr>
        <w:t>Rodgers, J.</w:t>
      </w:r>
      <w:r w:rsidR="00977FDE" w:rsidRPr="00BF60F3">
        <w:rPr>
          <w:rFonts w:ascii="Times New Roman" w:hAnsi="Times New Roman" w:cs="Times New Roman"/>
          <w:sz w:val="24"/>
        </w:rPr>
        <w:t xml:space="preserve"> </w:t>
      </w:r>
      <w:r w:rsidRPr="00BF60F3">
        <w:rPr>
          <w:rFonts w:ascii="Times New Roman" w:hAnsi="Times New Roman" w:cs="Times New Roman"/>
          <w:sz w:val="24"/>
        </w:rPr>
        <w:t xml:space="preserve">R. (2002) </w:t>
      </w:r>
      <w:r w:rsidR="00C6018C" w:rsidRPr="00BF60F3">
        <w:rPr>
          <w:rFonts w:ascii="Times New Roman" w:hAnsi="Times New Roman" w:cs="Times New Roman"/>
          <w:sz w:val="24"/>
        </w:rPr>
        <w:t>‘</w:t>
      </w:r>
      <w:r w:rsidRPr="00BF60F3">
        <w:rPr>
          <w:rFonts w:ascii="Times New Roman" w:hAnsi="Times New Roman" w:cs="Times New Roman"/>
          <w:sz w:val="24"/>
        </w:rPr>
        <w:t>Encouraging tutorial attendance at university did not improve performance</w:t>
      </w:r>
      <w:r w:rsidR="00C6018C" w:rsidRPr="00BF60F3">
        <w:rPr>
          <w:rFonts w:ascii="Times New Roman" w:hAnsi="Times New Roman" w:cs="Times New Roman"/>
          <w:sz w:val="24"/>
        </w:rPr>
        <w:t>’</w:t>
      </w:r>
      <w:r w:rsidRPr="00BF60F3">
        <w:rPr>
          <w:rFonts w:ascii="Times New Roman" w:hAnsi="Times New Roman" w:cs="Times New Roman"/>
          <w:sz w:val="24"/>
        </w:rPr>
        <w:t xml:space="preserve">. </w:t>
      </w:r>
      <w:proofErr w:type="gramStart"/>
      <w:r w:rsidRPr="00BF60F3">
        <w:rPr>
          <w:rFonts w:ascii="Times New Roman" w:hAnsi="Times New Roman" w:cs="Times New Roman"/>
          <w:i/>
          <w:sz w:val="24"/>
        </w:rPr>
        <w:t>Australian Economic Papers</w:t>
      </w:r>
      <w:r w:rsidR="00977FDE" w:rsidRPr="00BF60F3">
        <w:rPr>
          <w:rFonts w:ascii="Times New Roman" w:hAnsi="Times New Roman" w:cs="Times New Roman"/>
          <w:i/>
          <w:sz w:val="24"/>
        </w:rPr>
        <w:t>.</w:t>
      </w:r>
      <w:proofErr w:type="gramEnd"/>
      <w:r w:rsidRPr="00BF60F3">
        <w:rPr>
          <w:rFonts w:ascii="Times New Roman" w:hAnsi="Times New Roman" w:cs="Times New Roman"/>
          <w:sz w:val="24"/>
        </w:rPr>
        <w:t xml:space="preserve"> 41</w:t>
      </w:r>
      <w:r w:rsidR="00977FDE" w:rsidRPr="00BF60F3">
        <w:rPr>
          <w:rFonts w:ascii="Times New Roman" w:hAnsi="Times New Roman" w:cs="Times New Roman"/>
          <w:sz w:val="24"/>
        </w:rPr>
        <w:t xml:space="preserve"> </w:t>
      </w:r>
      <w:r w:rsidRPr="00BF60F3">
        <w:rPr>
          <w:rFonts w:ascii="Times New Roman" w:hAnsi="Times New Roman" w:cs="Times New Roman"/>
          <w:sz w:val="24"/>
        </w:rPr>
        <w:t>(3)</w:t>
      </w:r>
      <w:r w:rsidR="00977FDE" w:rsidRPr="00BF60F3">
        <w:rPr>
          <w:rFonts w:ascii="Times New Roman" w:hAnsi="Times New Roman" w:cs="Times New Roman"/>
          <w:sz w:val="24"/>
        </w:rPr>
        <w:t>:</w:t>
      </w:r>
      <w:r w:rsidRPr="00BF60F3">
        <w:rPr>
          <w:rFonts w:ascii="Times New Roman" w:hAnsi="Times New Roman" w:cs="Times New Roman"/>
          <w:sz w:val="24"/>
        </w:rPr>
        <w:t xml:space="preserve"> 255-266.</w:t>
      </w:r>
    </w:p>
    <w:p w:rsidR="007E2955" w:rsidRPr="00BF60F3" w:rsidRDefault="007E2955" w:rsidP="00E36EE2">
      <w:pPr>
        <w:spacing w:line="240" w:lineRule="auto"/>
        <w:rPr>
          <w:rFonts w:ascii="Times New Roman" w:hAnsi="Times New Roman" w:cs="Times New Roman"/>
          <w:sz w:val="24"/>
        </w:rPr>
      </w:pPr>
      <w:r w:rsidRPr="00BF60F3">
        <w:rPr>
          <w:rFonts w:ascii="Times New Roman" w:hAnsi="Times New Roman" w:cs="Times New Roman"/>
          <w:sz w:val="24"/>
        </w:rPr>
        <w:t xml:space="preserve">Seale, J. (2009) ‘Doing student voice work in higher education: an exploration of the value of participatory methods’. </w:t>
      </w:r>
      <w:proofErr w:type="gramStart"/>
      <w:r w:rsidRPr="00BF60F3">
        <w:rPr>
          <w:rFonts w:ascii="Times New Roman" w:hAnsi="Times New Roman" w:cs="Times New Roman"/>
          <w:i/>
          <w:sz w:val="24"/>
        </w:rPr>
        <w:t>British Educational Research Journal</w:t>
      </w:r>
      <w:r w:rsidRPr="00BF60F3">
        <w:rPr>
          <w:rFonts w:ascii="Times New Roman" w:hAnsi="Times New Roman" w:cs="Times New Roman"/>
          <w:sz w:val="24"/>
        </w:rPr>
        <w:t>.</w:t>
      </w:r>
      <w:proofErr w:type="gramEnd"/>
      <w:r w:rsidRPr="00BF60F3">
        <w:rPr>
          <w:rFonts w:ascii="Times New Roman" w:hAnsi="Times New Roman" w:cs="Times New Roman"/>
          <w:sz w:val="24"/>
        </w:rPr>
        <w:t xml:space="preserve"> 36 (6): 995-1015.</w:t>
      </w:r>
    </w:p>
    <w:p w:rsidR="00C22F59" w:rsidRPr="00BF60F3" w:rsidRDefault="00C22F59" w:rsidP="00E36EE2">
      <w:pPr>
        <w:spacing w:line="240" w:lineRule="auto"/>
        <w:rPr>
          <w:rFonts w:ascii="Times New Roman" w:hAnsi="Times New Roman" w:cs="Times New Roman"/>
          <w:sz w:val="24"/>
        </w:rPr>
      </w:pPr>
      <w:proofErr w:type="gramStart"/>
      <w:r w:rsidRPr="00BF60F3">
        <w:rPr>
          <w:rFonts w:ascii="Times New Roman" w:hAnsi="Times New Roman" w:cs="Times New Roman"/>
          <w:sz w:val="24"/>
        </w:rPr>
        <w:t xml:space="preserve">Spencer, K. J and </w:t>
      </w:r>
      <w:proofErr w:type="spellStart"/>
      <w:r w:rsidRPr="00BF60F3">
        <w:rPr>
          <w:rFonts w:ascii="Times New Roman" w:hAnsi="Times New Roman" w:cs="Times New Roman"/>
          <w:sz w:val="24"/>
        </w:rPr>
        <w:t>Schmelkin</w:t>
      </w:r>
      <w:proofErr w:type="spellEnd"/>
      <w:r w:rsidRPr="00BF60F3">
        <w:rPr>
          <w:rFonts w:ascii="Times New Roman" w:hAnsi="Times New Roman" w:cs="Times New Roman"/>
          <w:sz w:val="24"/>
        </w:rPr>
        <w:t>, L. P. (2002) ‘Student perspectives on teaching and its evaluation’.</w:t>
      </w:r>
      <w:proofErr w:type="gramEnd"/>
      <w:r w:rsidRPr="00BF60F3">
        <w:rPr>
          <w:rFonts w:ascii="Times New Roman" w:hAnsi="Times New Roman" w:cs="Times New Roman"/>
          <w:sz w:val="24"/>
        </w:rPr>
        <w:t xml:space="preserve"> </w:t>
      </w:r>
      <w:proofErr w:type="gramStart"/>
      <w:r w:rsidRPr="00BF60F3">
        <w:rPr>
          <w:rFonts w:ascii="Times New Roman" w:hAnsi="Times New Roman" w:cs="Times New Roman"/>
          <w:i/>
          <w:sz w:val="24"/>
        </w:rPr>
        <w:t>Assessment &amp; Evaluation in Higher Education</w:t>
      </w:r>
      <w:r w:rsidRPr="00BF60F3">
        <w:rPr>
          <w:rFonts w:ascii="Times New Roman" w:hAnsi="Times New Roman" w:cs="Times New Roman"/>
          <w:sz w:val="24"/>
        </w:rPr>
        <w:t>.</w:t>
      </w:r>
      <w:proofErr w:type="gramEnd"/>
      <w:r w:rsidRPr="00BF60F3">
        <w:rPr>
          <w:rFonts w:ascii="Times New Roman" w:hAnsi="Times New Roman" w:cs="Times New Roman"/>
          <w:sz w:val="24"/>
        </w:rPr>
        <w:t xml:space="preserve"> 27 (50): 397-409.</w:t>
      </w:r>
    </w:p>
    <w:p w:rsidR="00A0136F" w:rsidRPr="00BF60F3" w:rsidRDefault="00A0136F" w:rsidP="00E36EE2">
      <w:pPr>
        <w:spacing w:line="240" w:lineRule="auto"/>
        <w:rPr>
          <w:rFonts w:ascii="Times New Roman" w:hAnsi="Times New Roman" w:cs="Times New Roman"/>
          <w:sz w:val="24"/>
        </w:rPr>
      </w:pPr>
      <w:r w:rsidRPr="00BF60F3">
        <w:rPr>
          <w:rFonts w:ascii="Times New Roman" w:hAnsi="Times New Roman" w:cs="Times New Roman"/>
          <w:sz w:val="24"/>
        </w:rPr>
        <w:t xml:space="preserve">Struthers, C. W., </w:t>
      </w:r>
      <w:proofErr w:type="spellStart"/>
      <w:r w:rsidRPr="00BF60F3">
        <w:rPr>
          <w:rFonts w:ascii="Times New Roman" w:hAnsi="Times New Roman" w:cs="Times New Roman"/>
          <w:sz w:val="24"/>
        </w:rPr>
        <w:t>Menec</w:t>
      </w:r>
      <w:proofErr w:type="spellEnd"/>
      <w:r w:rsidRPr="00BF60F3">
        <w:rPr>
          <w:rFonts w:ascii="Times New Roman" w:hAnsi="Times New Roman" w:cs="Times New Roman"/>
          <w:sz w:val="24"/>
        </w:rPr>
        <w:t xml:space="preserve">, V. H., </w:t>
      </w:r>
      <w:proofErr w:type="spellStart"/>
      <w:r w:rsidRPr="00BF60F3">
        <w:rPr>
          <w:rFonts w:ascii="Times New Roman" w:hAnsi="Times New Roman" w:cs="Times New Roman"/>
          <w:sz w:val="24"/>
        </w:rPr>
        <w:t>Schonwetter</w:t>
      </w:r>
      <w:proofErr w:type="spellEnd"/>
      <w:r w:rsidRPr="00BF60F3">
        <w:rPr>
          <w:rFonts w:ascii="Times New Roman" w:hAnsi="Times New Roman" w:cs="Times New Roman"/>
          <w:sz w:val="24"/>
        </w:rPr>
        <w:t xml:space="preserve">, D. J. and Perry, R. P. (1996) ‘The effects of perceived attributions, action control, and creativity on college students' motivation and performance: A field study’. </w:t>
      </w:r>
      <w:r w:rsidRPr="00BF60F3">
        <w:rPr>
          <w:rFonts w:ascii="Times New Roman" w:hAnsi="Times New Roman" w:cs="Times New Roman"/>
          <w:i/>
          <w:sz w:val="24"/>
        </w:rPr>
        <w:t>Learning and Individual Differences</w:t>
      </w:r>
      <w:r w:rsidR="00E46819" w:rsidRPr="00BF60F3">
        <w:rPr>
          <w:rFonts w:ascii="Times New Roman" w:hAnsi="Times New Roman" w:cs="Times New Roman"/>
          <w:sz w:val="24"/>
        </w:rPr>
        <w:t xml:space="preserve">. </w:t>
      </w:r>
      <w:r w:rsidRPr="00BF60F3">
        <w:rPr>
          <w:rFonts w:ascii="Times New Roman" w:hAnsi="Times New Roman" w:cs="Times New Roman"/>
          <w:sz w:val="24"/>
        </w:rPr>
        <w:t>8</w:t>
      </w:r>
      <w:r w:rsidR="004C7AB9" w:rsidRPr="00BF60F3">
        <w:rPr>
          <w:rFonts w:ascii="Times New Roman" w:hAnsi="Times New Roman" w:cs="Times New Roman"/>
          <w:sz w:val="24"/>
        </w:rPr>
        <w:t xml:space="preserve"> </w:t>
      </w:r>
      <w:r w:rsidR="00E46819" w:rsidRPr="00BF60F3">
        <w:rPr>
          <w:rFonts w:ascii="Times New Roman" w:hAnsi="Times New Roman" w:cs="Times New Roman"/>
          <w:sz w:val="24"/>
        </w:rPr>
        <w:t>(</w:t>
      </w:r>
      <w:r w:rsidRPr="00BF60F3">
        <w:rPr>
          <w:rFonts w:ascii="Times New Roman" w:hAnsi="Times New Roman" w:cs="Times New Roman"/>
          <w:sz w:val="24"/>
        </w:rPr>
        <w:t>2</w:t>
      </w:r>
      <w:r w:rsidR="00E46819" w:rsidRPr="00BF60F3">
        <w:rPr>
          <w:rFonts w:ascii="Times New Roman" w:hAnsi="Times New Roman" w:cs="Times New Roman"/>
          <w:sz w:val="24"/>
        </w:rPr>
        <w:t>): 121-</w:t>
      </w:r>
      <w:r w:rsidRPr="00BF60F3">
        <w:rPr>
          <w:rFonts w:ascii="Times New Roman" w:hAnsi="Times New Roman" w:cs="Times New Roman"/>
          <w:sz w:val="24"/>
        </w:rPr>
        <w:t>139</w:t>
      </w:r>
      <w:r w:rsidR="00E46819" w:rsidRPr="00BF60F3">
        <w:rPr>
          <w:rFonts w:ascii="Times New Roman" w:hAnsi="Times New Roman" w:cs="Times New Roman"/>
          <w:sz w:val="24"/>
        </w:rPr>
        <w:t>.</w:t>
      </w:r>
    </w:p>
    <w:p w:rsidR="006C21CE" w:rsidRPr="00BF60F3" w:rsidRDefault="000647A5" w:rsidP="00E36EE2">
      <w:pPr>
        <w:spacing w:line="240" w:lineRule="auto"/>
        <w:rPr>
          <w:rFonts w:ascii="Times New Roman" w:hAnsi="Times New Roman" w:cs="Times New Roman"/>
          <w:sz w:val="24"/>
        </w:rPr>
      </w:pPr>
      <w:proofErr w:type="spellStart"/>
      <w:r w:rsidRPr="00BF60F3">
        <w:rPr>
          <w:rFonts w:ascii="Times New Roman" w:hAnsi="Times New Roman" w:cs="Times New Roman"/>
          <w:sz w:val="24"/>
        </w:rPr>
        <w:t>Thielens</w:t>
      </w:r>
      <w:proofErr w:type="spellEnd"/>
      <w:r w:rsidRPr="00BF60F3">
        <w:rPr>
          <w:rFonts w:ascii="Times New Roman" w:hAnsi="Times New Roman" w:cs="Times New Roman"/>
          <w:sz w:val="24"/>
        </w:rPr>
        <w:t xml:space="preserve">, W. Jr. (1987) </w:t>
      </w:r>
      <w:proofErr w:type="gramStart"/>
      <w:r w:rsidRPr="00BF60F3">
        <w:rPr>
          <w:rFonts w:ascii="Times New Roman" w:hAnsi="Times New Roman" w:cs="Times New Roman"/>
          <w:i/>
          <w:sz w:val="24"/>
        </w:rPr>
        <w:t>The</w:t>
      </w:r>
      <w:proofErr w:type="gramEnd"/>
      <w:r w:rsidRPr="00BF60F3">
        <w:rPr>
          <w:rFonts w:ascii="Times New Roman" w:hAnsi="Times New Roman" w:cs="Times New Roman"/>
          <w:i/>
          <w:sz w:val="24"/>
        </w:rPr>
        <w:t xml:space="preserve"> disciplines and undergraduate lecturing.</w:t>
      </w:r>
      <w:r w:rsidRPr="00BF60F3">
        <w:rPr>
          <w:rFonts w:ascii="Times New Roman" w:hAnsi="Times New Roman" w:cs="Times New Roman"/>
          <w:sz w:val="24"/>
        </w:rPr>
        <w:t xml:space="preserve"> Paper presented at the annual meeting of the American Educational Research Association, 20-24th April. Washington, DC.</w:t>
      </w:r>
    </w:p>
    <w:p w:rsidR="006C21CE" w:rsidRPr="00BF60F3" w:rsidRDefault="006C21CE" w:rsidP="00E36EE2">
      <w:pPr>
        <w:spacing w:line="240" w:lineRule="auto"/>
        <w:rPr>
          <w:rFonts w:ascii="Times New Roman" w:hAnsi="Times New Roman" w:cs="Times New Roman"/>
          <w:sz w:val="24"/>
        </w:rPr>
      </w:pPr>
      <w:r w:rsidRPr="00BF60F3">
        <w:rPr>
          <w:rFonts w:ascii="Times New Roman" w:hAnsi="Times New Roman" w:cs="Times New Roman"/>
          <w:sz w:val="24"/>
        </w:rPr>
        <w:t xml:space="preserve">Tucker, B., Jones, S. </w:t>
      </w:r>
      <w:r w:rsidR="00977FDE" w:rsidRPr="00BF60F3">
        <w:rPr>
          <w:rFonts w:ascii="Times New Roman" w:hAnsi="Times New Roman" w:cs="Times New Roman"/>
          <w:sz w:val="24"/>
        </w:rPr>
        <w:t>and</w:t>
      </w:r>
      <w:r w:rsidRPr="00BF60F3">
        <w:rPr>
          <w:rFonts w:ascii="Times New Roman" w:hAnsi="Times New Roman" w:cs="Times New Roman"/>
          <w:sz w:val="24"/>
        </w:rPr>
        <w:t xml:space="preserve"> </w:t>
      </w:r>
      <w:proofErr w:type="spellStart"/>
      <w:r w:rsidRPr="00BF60F3">
        <w:rPr>
          <w:rFonts w:ascii="Times New Roman" w:hAnsi="Times New Roman" w:cs="Times New Roman"/>
          <w:sz w:val="24"/>
        </w:rPr>
        <w:t>Staker</w:t>
      </w:r>
      <w:proofErr w:type="spellEnd"/>
      <w:r w:rsidRPr="00BF60F3">
        <w:rPr>
          <w:rFonts w:ascii="Times New Roman" w:hAnsi="Times New Roman" w:cs="Times New Roman"/>
          <w:sz w:val="24"/>
        </w:rPr>
        <w:t xml:space="preserve">, L. (2008) </w:t>
      </w:r>
      <w:r w:rsidR="00C6018C" w:rsidRPr="00BF60F3">
        <w:rPr>
          <w:rFonts w:ascii="Times New Roman" w:hAnsi="Times New Roman" w:cs="Times New Roman"/>
          <w:sz w:val="24"/>
        </w:rPr>
        <w:t>‘</w:t>
      </w:r>
      <w:proofErr w:type="gramStart"/>
      <w:r w:rsidRPr="00BF60F3">
        <w:rPr>
          <w:rFonts w:ascii="Times New Roman" w:hAnsi="Times New Roman" w:cs="Times New Roman"/>
          <w:sz w:val="24"/>
        </w:rPr>
        <w:t>Online</w:t>
      </w:r>
      <w:proofErr w:type="gramEnd"/>
      <w:r w:rsidRPr="00BF60F3">
        <w:rPr>
          <w:rFonts w:ascii="Times New Roman" w:hAnsi="Times New Roman" w:cs="Times New Roman"/>
          <w:sz w:val="24"/>
        </w:rPr>
        <w:t xml:space="preserve"> student evaluation improves course experience questionnaire: res</w:t>
      </w:r>
      <w:r w:rsidR="00977FDE" w:rsidRPr="00BF60F3">
        <w:rPr>
          <w:rFonts w:ascii="Times New Roman" w:hAnsi="Times New Roman" w:cs="Times New Roman"/>
          <w:sz w:val="24"/>
        </w:rPr>
        <w:t>ults in a physiotherapy program</w:t>
      </w:r>
      <w:r w:rsidR="00C6018C" w:rsidRPr="00BF60F3">
        <w:rPr>
          <w:rFonts w:ascii="Times New Roman" w:hAnsi="Times New Roman" w:cs="Times New Roman"/>
          <w:sz w:val="24"/>
        </w:rPr>
        <w:t>’</w:t>
      </w:r>
      <w:r w:rsidR="00977FDE" w:rsidRPr="00BF60F3">
        <w:rPr>
          <w:rFonts w:ascii="Times New Roman" w:hAnsi="Times New Roman" w:cs="Times New Roman"/>
          <w:sz w:val="24"/>
        </w:rPr>
        <w:t>.</w:t>
      </w:r>
      <w:r w:rsidRPr="00BF60F3">
        <w:rPr>
          <w:rFonts w:ascii="Times New Roman" w:hAnsi="Times New Roman" w:cs="Times New Roman"/>
          <w:sz w:val="24"/>
        </w:rPr>
        <w:t xml:space="preserve"> </w:t>
      </w:r>
      <w:proofErr w:type="gramStart"/>
      <w:r w:rsidRPr="00BF60F3">
        <w:rPr>
          <w:rFonts w:ascii="Times New Roman" w:hAnsi="Times New Roman" w:cs="Times New Roman"/>
          <w:i/>
          <w:sz w:val="24"/>
        </w:rPr>
        <w:t>Higher Education Research and Development</w:t>
      </w:r>
      <w:r w:rsidR="00977FDE" w:rsidRPr="00BF60F3">
        <w:rPr>
          <w:rFonts w:ascii="Times New Roman" w:hAnsi="Times New Roman" w:cs="Times New Roman"/>
          <w:sz w:val="24"/>
        </w:rPr>
        <w:t>.</w:t>
      </w:r>
      <w:proofErr w:type="gramEnd"/>
      <w:r w:rsidR="00977FDE" w:rsidRPr="00BF60F3">
        <w:rPr>
          <w:rFonts w:ascii="Times New Roman" w:hAnsi="Times New Roman" w:cs="Times New Roman"/>
          <w:sz w:val="24"/>
        </w:rPr>
        <w:t xml:space="preserve"> </w:t>
      </w:r>
      <w:r w:rsidRPr="00BF60F3">
        <w:rPr>
          <w:rFonts w:ascii="Times New Roman" w:hAnsi="Times New Roman" w:cs="Times New Roman"/>
          <w:sz w:val="24"/>
        </w:rPr>
        <w:t>27</w:t>
      </w:r>
      <w:r w:rsidR="00977FDE" w:rsidRPr="00BF60F3">
        <w:rPr>
          <w:rFonts w:ascii="Times New Roman" w:hAnsi="Times New Roman" w:cs="Times New Roman"/>
          <w:sz w:val="24"/>
        </w:rPr>
        <w:t xml:space="preserve"> </w:t>
      </w:r>
      <w:r w:rsidRPr="00BF60F3">
        <w:rPr>
          <w:rFonts w:ascii="Times New Roman" w:hAnsi="Times New Roman" w:cs="Times New Roman"/>
          <w:sz w:val="24"/>
        </w:rPr>
        <w:t>(3)</w:t>
      </w:r>
      <w:r w:rsidR="00977FDE" w:rsidRPr="00BF60F3">
        <w:rPr>
          <w:rFonts w:ascii="Times New Roman" w:hAnsi="Times New Roman" w:cs="Times New Roman"/>
          <w:sz w:val="24"/>
        </w:rPr>
        <w:t>:</w:t>
      </w:r>
      <w:r w:rsidRPr="00BF60F3">
        <w:rPr>
          <w:rFonts w:ascii="Times New Roman" w:hAnsi="Times New Roman" w:cs="Times New Roman"/>
          <w:sz w:val="24"/>
        </w:rPr>
        <w:t xml:space="preserve"> 281-96.</w:t>
      </w:r>
    </w:p>
    <w:p w:rsidR="00A0136F" w:rsidRPr="00BF60F3" w:rsidRDefault="00A0136F" w:rsidP="00E36EE2">
      <w:pPr>
        <w:spacing w:line="240" w:lineRule="auto"/>
        <w:rPr>
          <w:rFonts w:ascii="Times New Roman" w:hAnsi="Times New Roman" w:cs="Times New Roman"/>
          <w:sz w:val="24"/>
        </w:rPr>
      </w:pPr>
      <w:proofErr w:type="gramStart"/>
      <w:r w:rsidRPr="00BF60F3">
        <w:rPr>
          <w:rFonts w:ascii="Times New Roman" w:hAnsi="Times New Roman" w:cs="Times New Roman"/>
          <w:sz w:val="24"/>
        </w:rPr>
        <w:t xml:space="preserve">Turner, J., </w:t>
      </w:r>
      <w:proofErr w:type="spellStart"/>
      <w:r w:rsidRPr="00BF60F3">
        <w:rPr>
          <w:rFonts w:ascii="Times New Roman" w:hAnsi="Times New Roman" w:cs="Times New Roman"/>
          <w:sz w:val="24"/>
        </w:rPr>
        <w:t>Husman</w:t>
      </w:r>
      <w:proofErr w:type="spellEnd"/>
      <w:r w:rsidRPr="00BF60F3">
        <w:rPr>
          <w:rFonts w:ascii="Times New Roman" w:hAnsi="Times New Roman" w:cs="Times New Roman"/>
          <w:sz w:val="24"/>
        </w:rPr>
        <w:t xml:space="preserve">, J. and </w:t>
      </w:r>
      <w:proofErr w:type="spellStart"/>
      <w:r w:rsidRPr="00BF60F3">
        <w:rPr>
          <w:rFonts w:ascii="Times New Roman" w:hAnsi="Times New Roman" w:cs="Times New Roman"/>
          <w:sz w:val="24"/>
        </w:rPr>
        <w:t>Schallert</w:t>
      </w:r>
      <w:proofErr w:type="spellEnd"/>
      <w:r w:rsidRPr="00BF60F3">
        <w:rPr>
          <w:rFonts w:ascii="Times New Roman" w:hAnsi="Times New Roman" w:cs="Times New Roman"/>
          <w:sz w:val="24"/>
        </w:rPr>
        <w:t>, D. (2002).’</w:t>
      </w:r>
      <w:proofErr w:type="gramEnd"/>
      <w:r w:rsidRPr="00BF60F3">
        <w:rPr>
          <w:rFonts w:ascii="Times New Roman" w:hAnsi="Times New Roman" w:cs="Times New Roman"/>
          <w:sz w:val="24"/>
        </w:rPr>
        <w:t xml:space="preserve"> The Importance of Students' Goals in Their Emotional Experience of Academic Failure: Investigating the Precursors and Consequences of Shame’. </w:t>
      </w:r>
      <w:proofErr w:type="gramStart"/>
      <w:r w:rsidRPr="00BF60F3">
        <w:rPr>
          <w:rFonts w:ascii="Times New Roman" w:hAnsi="Times New Roman" w:cs="Times New Roman"/>
          <w:i/>
          <w:sz w:val="24"/>
        </w:rPr>
        <w:t>Educational Psychologist</w:t>
      </w:r>
      <w:r w:rsidRPr="00BF60F3">
        <w:rPr>
          <w:rFonts w:ascii="Times New Roman" w:hAnsi="Times New Roman" w:cs="Times New Roman"/>
          <w:sz w:val="24"/>
        </w:rPr>
        <w:t>.</w:t>
      </w:r>
      <w:proofErr w:type="gramEnd"/>
      <w:r w:rsidRPr="00BF60F3">
        <w:rPr>
          <w:rFonts w:ascii="Times New Roman" w:hAnsi="Times New Roman" w:cs="Times New Roman"/>
          <w:sz w:val="24"/>
        </w:rPr>
        <w:t xml:space="preserve"> 37 (2): 79-89.</w:t>
      </w:r>
    </w:p>
    <w:p w:rsidR="00E46819" w:rsidRPr="00BF60F3" w:rsidRDefault="00E46819" w:rsidP="00E36EE2">
      <w:pPr>
        <w:spacing w:line="240" w:lineRule="auto"/>
        <w:rPr>
          <w:rFonts w:ascii="Times New Roman" w:hAnsi="Times New Roman" w:cs="Times New Roman"/>
          <w:sz w:val="24"/>
        </w:rPr>
      </w:pPr>
      <w:r w:rsidRPr="00BF60F3">
        <w:rPr>
          <w:rFonts w:ascii="Times New Roman" w:hAnsi="Times New Roman" w:cs="Times New Roman"/>
          <w:sz w:val="24"/>
        </w:rPr>
        <w:t xml:space="preserve">Weiner, B. (1995) </w:t>
      </w:r>
      <w:r w:rsidRPr="00BF60F3">
        <w:rPr>
          <w:rFonts w:ascii="Times New Roman" w:hAnsi="Times New Roman" w:cs="Times New Roman"/>
          <w:i/>
          <w:sz w:val="24"/>
        </w:rPr>
        <w:t>Judgements of Responsibility: A Foundation for a Theory of Social Conduct</w:t>
      </w:r>
      <w:r w:rsidRPr="00BF60F3">
        <w:rPr>
          <w:rFonts w:ascii="Times New Roman" w:hAnsi="Times New Roman" w:cs="Times New Roman"/>
          <w:sz w:val="24"/>
        </w:rPr>
        <w:t>. Guildford Press: New York, NY.</w:t>
      </w:r>
    </w:p>
    <w:p w:rsidR="00E46819" w:rsidRPr="00BF60F3" w:rsidRDefault="00E46819" w:rsidP="00E36EE2">
      <w:pPr>
        <w:spacing w:line="240" w:lineRule="auto"/>
        <w:rPr>
          <w:rFonts w:ascii="Times New Roman" w:hAnsi="Times New Roman" w:cs="Times New Roman"/>
          <w:sz w:val="24"/>
        </w:rPr>
      </w:pPr>
      <w:r w:rsidRPr="00BF60F3">
        <w:rPr>
          <w:rFonts w:ascii="Times New Roman" w:hAnsi="Times New Roman" w:cs="Times New Roman"/>
          <w:sz w:val="24"/>
        </w:rPr>
        <w:t xml:space="preserve">Weinberg, B. A., Hashimoto, M. and Fleisher, B. M. (2009) ‘Evaluating Teaching in Higher Education’. </w:t>
      </w:r>
      <w:proofErr w:type="gramStart"/>
      <w:r w:rsidRPr="00BF60F3">
        <w:rPr>
          <w:rFonts w:ascii="Times New Roman" w:hAnsi="Times New Roman" w:cs="Times New Roman"/>
          <w:i/>
          <w:sz w:val="24"/>
        </w:rPr>
        <w:t>Journal of Economic Education</w:t>
      </w:r>
      <w:r w:rsidRPr="00BF60F3">
        <w:rPr>
          <w:rFonts w:ascii="Times New Roman" w:hAnsi="Times New Roman" w:cs="Times New Roman"/>
          <w:sz w:val="24"/>
        </w:rPr>
        <w:t>.</w:t>
      </w:r>
      <w:proofErr w:type="gramEnd"/>
      <w:r w:rsidRPr="00BF60F3">
        <w:rPr>
          <w:rFonts w:ascii="Times New Roman" w:hAnsi="Times New Roman" w:cs="Times New Roman"/>
          <w:sz w:val="24"/>
        </w:rPr>
        <w:t xml:space="preserve"> 40 (3): 227-261.</w:t>
      </w:r>
    </w:p>
    <w:p w:rsidR="00E46819" w:rsidRPr="00BF60F3" w:rsidRDefault="00E46819" w:rsidP="00E46819">
      <w:pPr>
        <w:spacing w:line="240" w:lineRule="auto"/>
        <w:rPr>
          <w:rFonts w:ascii="Times New Roman" w:hAnsi="Times New Roman" w:cs="Times New Roman"/>
          <w:sz w:val="24"/>
        </w:rPr>
      </w:pPr>
      <w:proofErr w:type="spellStart"/>
      <w:proofErr w:type="gramStart"/>
      <w:r w:rsidRPr="00BF60F3">
        <w:rPr>
          <w:rFonts w:ascii="Times New Roman" w:hAnsi="Times New Roman" w:cs="Times New Roman"/>
          <w:sz w:val="24"/>
        </w:rPr>
        <w:t>Wimshurst</w:t>
      </w:r>
      <w:proofErr w:type="spellEnd"/>
      <w:r w:rsidRPr="00BF60F3">
        <w:rPr>
          <w:rFonts w:ascii="Times New Roman" w:hAnsi="Times New Roman" w:cs="Times New Roman"/>
          <w:sz w:val="24"/>
        </w:rPr>
        <w:t>, K. and Allard, T. (2008) ‘Personal and institutional characteristics of student failure’.</w:t>
      </w:r>
      <w:proofErr w:type="gramEnd"/>
      <w:r w:rsidRPr="00BF60F3">
        <w:rPr>
          <w:rFonts w:ascii="Times New Roman" w:hAnsi="Times New Roman" w:cs="Times New Roman"/>
          <w:sz w:val="24"/>
        </w:rPr>
        <w:t xml:space="preserve"> </w:t>
      </w:r>
      <w:proofErr w:type="gramStart"/>
      <w:r w:rsidRPr="00BF60F3">
        <w:rPr>
          <w:rFonts w:ascii="Times New Roman" w:hAnsi="Times New Roman" w:cs="Times New Roman"/>
          <w:i/>
          <w:sz w:val="24"/>
        </w:rPr>
        <w:t>Assessment &amp; Evaluation in Higher Education</w:t>
      </w:r>
      <w:r w:rsidRPr="00BF60F3">
        <w:rPr>
          <w:rFonts w:ascii="Times New Roman" w:hAnsi="Times New Roman" w:cs="Times New Roman"/>
          <w:sz w:val="24"/>
        </w:rPr>
        <w:t>.</w:t>
      </w:r>
      <w:proofErr w:type="gramEnd"/>
      <w:r w:rsidRPr="00BF60F3">
        <w:rPr>
          <w:rFonts w:ascii="Times New Roman" w:hAnsi="Times New Roman" w:cs="Times New Roman"/>
          <w:sz w:val="24"/>
        </w:rPr>
        <w:t xml:space="preserve"> 33 (6): 687-698. </w:t>
      </w:r>
    </w:p>
    <w:p w:rsidR="00E46819" w:rsidRPr="00BF60F3" w:rsidRDefault="00E46819" w:rsidP="00E46819">
      <w:pPr>
        <w:spacing w:line="240" w:lineRule="auto"/>
        <w:rPr>
          <w:rFonts w:ascii="Times New Roman" w:hAnsi="Times New Roman" w:cs="Times New Roman"/>
          <w:sz w:val="24"/>
        </w:rPr>
      </w:pPr>
      <w:proofErr w:type="spellStart"/>
      <w:r w:rsidRPr="00BF60F3">
        <w:rPr>
          <w:rFonts w:ascii="Times New Roman" w:hAnsi="Times New Roman" w:cs="Times New Roman"/>
          <w:sz w:val="24"/>
        </w:rPr>
        <w:t>Wongsurawat</w:t>
      </w:r>
      <w:proofErr w:type="spellEnd"/>
      <w:r w:rsidRPr="00BF60F3">
        <w:rPr>
          <w:rFonts w:ascii="Times New Roman" w:hAnsi="Times New Roman" w:cs="Times New Roman"/>
          <w:sz w:val="24"/>
        </w:rPr>
        <w:t xml:space="preserve">, W. (2011) ‘What’s a comment worth? </w:t>
      </w:r>
      <w:proofErr w:type="gramStart"/>
      <w:r w:rsidRPr="00BF60F3">
        <w:rPr>
          <w:rFonts w:ascii="Times New Roman" w:hAnsi="Times New Roman" w:cs="Times New Roman"/>
          <w:sz w:val="24"/>
        </w:rPr>
        <w:t>How to better understand student evaluations of teaching’.</w:t>
      </w:r>
      <w:proofErr w:type="gramEnd"/>
      <w:r w:rsidRPr="00BF60F3">
        <w:rPr>
          <w:rFonts w:ascii="Times New Roman" w:hAnsi="Times New Roman" w:cs="Times New Roman"/>
          <w:sz w:val="24"/>
        </w:rPr>
        <w:t xml:space="preserve"> </w:t>
      </w:r>
      <w:proofErr w:type="gramStart"/>
      <w:r w:rsidRPr="00BF60F3">
        <w:rPr>
          <w:rFonts w:ascii="Times New Roman" w:hAnsi="Times New Roman" w:cs="Times New Roman"/>
          <w:i/>
          <w:sz w:val="24"/>
        </w:rPr>
        <w:t>Quality Assurance in Education</w:t>
      </w:r>
      <w:r w:rsidRPr="00BF60F3">
        <w:rPr>
          <w:rFonts w:ascii="Times New Roman" w:hAnsi="Times New Roman" w:cs="Times New Roman"/>
          <w:sz w:val="24"/>
        </w:rPr>
        <w:t>.</w:t>
      </w:r>
      <w:proofErr w:type="gramEnd"/>
      <w:r w:rsidRPr="00BF60F3">
        <w:rPr>
          <w:rFonts w:ascii="Times New Roman" w:hAnsi="Times New Roman" w:cs="Times New Roman"/>
          <w:sz w:val="24"/>
        </w:rPr>
        <w:t xml:space="preserve"> 19 (1): 67-83.</w:t>
      </w:r>
    </w:p>
    <w:p w:rsidR="000647A5" w:rsidRPr="00BF60F3" w:rsidRDefault="000647A5" w:rsidP="00E36EE2">
      <w:pPr>
        <w:spacing w:line="240" w:lineRule="auto"/>
        <w:rPr>
          <w:rFonts w:ascii="Times New Roman" w:hAnsi="Times New Roman" w:cs="Times New Roman"/>
        </w:rPr>
      </w:pPr>
    </w:p>
    <w:p w:rsidR="001C43FB" w:rsidRPr="00BF60F3" w:rsidRDefault="001C43FB" w:rsidP="00E36EE2">
      <w:pPr>
        <w:spacing w:line="240" w:lineRule="auto"/>
        <w:rPr>
          <w:rFonts w:ascii="Times New Roman" w:hAnsi="Times New Roman" w:cs="Times New Roman"/>
        </w:rPr>
      </w:pPr>
    </w:p>
    <w:sectPr w:rsidR="001C43FB" w:rsidRPr="00BF60F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6F" w:rsidRDefault="00A0136F" w:rsidP="00725451">
      <w:pPr>
        <w:spacing w:after="0" w:line="240" w:lineRule="auto"/>
      </w:pPr>
      <w:r>
        <w:separator/>
      </w:r>
    </w:p>
  </w:endnote>
  <w:endnote w:type="continuationSeparator" w:id="0">
    <w:p w:rsidR="00A0136F" w:rsidRDefault="00A0136F" w:rsidP="0072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014967"/>
      <w:docPartObj>
        <w:docPartGallery w:val="Page Numbers (Bottom of Page)"/>
        <w:docPartUnique/>
      </w:docPartObj>
    </w:sdtPr>
    <w:sdtEndPr>
      <w:rPr>
        <w:noProof/>
      </w:rPr>
    </w:sdtEndPr>
    <w:sdtContent>
      <w:p w:rsidR="00A0136F" w:rsidRDefault="00A0136F">
        <w:pPr>
          <w:pStyle w:val="Footer"/>
          <w:jc w:val="right"/>
        </w:pPr>
        <w:r>
          <w:fldChar w:fldCharType="begin"/>
        </w:r>
        <w:r>
          <w:instrText xml:space="preserve"> PAGE   \* MERGEFORMAT </w:instrText>
        </w:r>
        <w:r>
          <w:fldChar w:fldCharType="separate"/>
        </w:r>
        <w:r w:rsidR="00BF60F3">
          <w:rPr>
            <w:noProof/>
          </w:rPr>
          <w:t>15</w:t>
        </w:r>
        <w:r>
          <w:rPr>
            <w:noProof/>
          </w:rPr>
          <w:fldChar w:fldCharType="end"/>
        </w:r>
      </w:p>
    </w:sdtContent>
  </w:sdt>
  <w:p w:rsidR="00A0136F" w:rsidRDefault="00A01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6F" w:rsidRDefault="00A0136F" w:rsidP="00725451">
      <w:pPr>
        <w:spacing w:after="0" w:line="240" w:lineRule="auto"/>
      </w:pPr>
      <w:r>
        <w:separator/>
      </w:r>
    </w:p>
  </w:footnote>
  <w:footnote w:type="continuationSeparator" w:id="0">
    <w:p w:rsidR="00A0136F" w:rsidRDefault="00A0136F" w:rsidP="00725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clip_image001"/>
      </v:shape>
    </w:pict>
  </w:numPicBullet>
  <w:abstractNum w:abstractNumId="0">
    <w:nsid w:val="05181F53"/>
    <w:multiLevelType w:val="hybridMultilevel"/>
    <w:tmpl w:val="E1983FD2"/>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1">
    <w:nsid w:val="307E7D0E"/>
    <w:multiLevelType w:val="hybridMultilevel"/>
    <w:tmpl w:val="8A72979C"/>
    <w:lvl w:ilvl="0" w:tplc="DB6686E6">
      <w:start w:val="1"/>
      <w:numFmt w:val="bullet"/>
      <w:lvlText w:val=""/>
      <w:lvlPicBulletId w:val="0"/>
      <w:lvlJc w:val="left"/>
      <w:pPr>
        <w:tabs>
          <w:tab w:val="num" w:pos="720"/>
        </w:tabs>
        <w:ind w:left="720" w:hanging="360"/>
      </w:pPr>
      <w:rPr>
        <w:rFonts w:ascii="Symbol" w:hAnsi="Symbol" w:hint="default"/>
      </w:rPr>
    </w:lvl>
    <w:lvl w:ilvl="1" w:tplc="AD5AED0C">
      <w:start w:val="1"/>
      <w:numFmt w:val="bullet"/>
      <w:lvlText w:val=""/>
      <w:lvlJc w:val="left"/>
      <w:pPr>
        <w:tabs>
          <w:tab w:val="num" w:pos="1440"/>
        </w:tabs>
        <w:ind w:left="1440" w:hanging="360"/>
      </w:pPr>
      <w:rPr>
        <w:rFonts w:ascii="Symbol" w:hAnsi="Symbol" w:hint="default"/>
      </w:rPr>
    </w:lvl>
    <w:lvl w:ilvl="2" w:tplc="63BC8CF8">
      <w:start w:val="1"/>
      <w:numFmt w:val="bullet"/>
      <w:lvlText w:val=""/>
      <w:lvlJc w:val="left"/>
      <w:pPr>
        <w:tabs>
          <w:tab w:val="num" w:pos="2160"/>
        </w:tabs>
        <w:ind w:left="2160" w:hanging="360"/>
      </w:pPr>
      <w:rPr>
        <w:rFonts w:ascii="Symbol" w:hAnsi="Symbol" w:hint="default"/>
      </w:rPr>
    </w:lvl>
    <w:lvl w:ilvl="3" w:tplc="9DA64F64">
      <w:start w:val="1"/>
      <w:numFmt w:val="bullet"/>
      <w:lvlText w:val=""/>
      <w:lvlJc w:val="left"/>
      <w:pPr>
        <w:tabs>
          <w:tab w:val="num" w:pos="2880"/>
        </w:tabs>
        <w:ind w:left="2880" w:hanging="360"/>
      </w:pPr>
      <w:rPr>
        <w:rFonts w:ascii="Symbol" w:hAnsi="Symbol" w:hint="default"/>
      </w:rPr>
    </w:lvl>
    <w:lvl w:ilvl="4" w:tplc="12E8BFF4">
      <w:start w:val="1"/>
      <w:numFmt w:val="bullet"/>
      <w:lvlText w:val=""/>
      <w:lvlJc w:val="left"/>
      <w:pPr>
        <w:tabs>
          <w:tab w:val="num" w:pos="3600"/>
        </w:tabs>
        <w:ind w:left="3600" w:hanging="360"/>
      </w:pPr>
      <w:rPr>
        <w:rFonts w:ascii="Symbol" w:hAnsi="Symbol" w:hint="default"/>
      </w:rPr>
    </w:lvl>
    <w:lvl w:ilvl="5" w:tplc="805A7BB0">
      <w:start w:val="1"/>
      <w:numFmt w:val="bullet"/>
      <w:lvlText w:val=""/>
      <w:lvlJc w:val="left"/>
      <w:pPr>
        <w:tabs>
          <w:tab w:val="num" w:pos="4320"/>
        </w:tabs>
        <w:ind w:left="4320" w:hanging="360"/>
      </w:pPr>
      <w:rPr>
        <w:rFonts w:ascii="Symbol" w:hAnsi="Symbol" w:hint="default"/>
      </w:rPr>
    </w:lvl>
    <w:lvl w:ilvl="6" w:tplc="A22CE032">
      <w:start w:val="1"/>
      <w:numFmt w:val="bullet"/>
      <w:lvlText w:val=""/>
      <w:lvlJc w:val="left"/>
      <w:pPr>
        <w:tabs>
          <w:tab w:val="num" w:pos="5040"/>
        </w:tabs>
        <w:ind w:left="5040" w:hanging="360"/>
      </w:pPr>
      <w:rPr>
        <w:rFonts w:ascii="Symbol" w:hAnsi="Symbol" w:hint="default"/>
      </w:rPr>
    </w:lvl>
    <w:lvl w:ilvl="7" w:tplc="6B5E7C30">
      <w:start w:val="1"/>
      <w:numFmt w:val="bullet"/>
      <w:lvlText w:val=""/>
      <w:lvlJc w:val="left"/>
      <w:pPr>
        <w:tabs>
          <w:tab w:val="num" w:pos="5760"/>
        </w:tabs>
        <w:ind w:left="5760" w:hanging="360"/>
      </w:pPr>
      <w:rPr>
        <w:rFonts w:ascii="Symbol" w:hAnsi="Symbol" w:hint="default"/>
      </w:rPr>
    </w:lvl>
    <w:lvl w:ilvl="8" w:tplc="B0983480">
      <w:start w:val="1"/>
      <w:numFmt w:val="bullet"/>
      <w:lvlText w:val=""/>
      <w:lvlJc w:val="left"/>
      <w:pPr>
        <w:tabs>
          <w:tab w:val="num" w:pos="6480"/>
        </w:tabs>
        <w:ind w:left="6480" w:hanging="360"/>
      </w:pPr>
      <w:rPr>
        <w:rFonts w:ascii="Symbol" w:hAnsi="Symbol" w:hint="default"/>
      </w:rPr>
    </w:lvl>
  </w:abstractNum>
  <w:abstractNum w:abstractNumId="2">
    <w:nsid w:val="41C732EE"/>
    <w:multiLevelType w:val="hybridMultilevel"/>
    <w:tmpl w:val="9F5E7502"/>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3">
    <w:nsid w:val="45D0719E"/>
    <w:multiLevelType w:val="hybridMultilevel"/>
    <w:tmpl w:val="304A02E6"/>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4">
    <w:nsid w:val="55043F53"/>
    <w:multiLevelType w:val="hybridMultilevel"/>
    <w:tmpl w:val="D4FA3474"/>
    <w:lvl w:ilvl="0" w:tplc="DA86F552">
      <w:start w:val="1"/>
      <w:numFmt w:val="decimal"/>
      <w:lvlText w:val="%1."/>
      <w:lvlJc w:val="left"/>
      <w:pPr>
        <w:ind w:left="1080" w:hanging="360"/>
      </w:pPr>
    </w:lvl>
    <w:lvl w:ilvl="1" w:tplc="2C090019">
      <w:start w:val="1"/>
      <w:numFmt w:val="lowerLetter"/>
      <w:lvlText w:val="%2."/>
      <w:lvlJc w:val="left"/>
      <w:pPr>
        <w:ind w:left="1800" w:hanging="360"/>
      </w:pPr>
    </w:lvl>
    <w:lvl w:ilvl="2" w:tplc="2C09001B">
      <w:start w:val="1"/>
      <w:numFmt w:val="lowerRoman"/>
      <w:lvlText w:val="%3."/>
      <w:lvlJc w:val="right"/>
      <w:pPr>
        <w:ind w:left="2520" w:hanging="180"/>
      </w:pPr>
    </w:lvl>
    <w:lvl w:ilvl="3" w:tplc="2C09000F">
      <w:start w:val="1"/>
      <w:numFmt w:val="decimal"/>
      <w:lvlText w:val="%4."/>
      <w:lvlJc w:val="left"/>
      <w:pPr>
        <w:ind w:left="3240" w:hanging="360"/>
      </w:pPr>
    </w:lvl>
    <w:lvl w:ilvl="4" w:tplc="2C090019">
      <w:start w:val="1"/>
      <w:numFmt w:val="lowerLetter"/>
      <w:lvlText w:val="%5."/>
      <w:lvlJc w:val="left"/>
      <w:pPr>
        <w:ind w:left="3960" w:hanging="360"/>
      </w:pPr>
    </w:lvl>
    <w:lvl w:ilvl="5" w:tplc="2C09001B">
      <w:start w:val="1"/>
      <w:numFmt w:val="lowerRoman"/>
      <w:lvlText w:val="%6."/>
      <w:lvlJc w:val="right"/>
      <w:pPr>
        <w:ind w:left="4680" w:hanging="180"/>
      </w:pPr>
    </w:lvl>
    <w:lvl w:ilvl="6" w:tplc="2C09000F">
      <w:start w:val="1"/>
      <w:numFmt w:val="decimal"/>
      <w:lvlText w:val="%7."/>
      <w:lvlJc w:val="left"/>
      <w:pPr>
        <w:ind w:left="5400" w:hanging="360"/>
      </w:pPr>
    </w:lvl>
    <w:lvl w:ilvl="7" w:tplc="2C090019">
      <w:start w:val="1"/>
      <w:numFmt w:val="lowerLetter"/>
      <w:lvlText w:val="%8."/>
      <w:lvlJc w:val="left"/>
      <w:pPr>
        <w:ind w:left="6120" w:hanging="360"/>
      </w:pPr>
    </w:lvl>
    <w:lvl w:ilvl="8" w:tplc="2C09001B">
      <w:start w:val="1"/>
      <w:numFmt w:val="lowerRoman"/>
      <w:lvlText w:val="%9."/>
      <w:lvlJc w:val="right"/>
      <w:pPr>
        <w:ind w:left="6840" w:hanging="180"/>
      </w:pPr>
    </w:lvl>
  </w:abstractNum>
  <w:abstractNum w:abstractNumId="5">
    <w:nsid w:val="5AEC6BB3"/>
    <w:multiLevelType w:val="hybridMultilevel"/>
    <w:tmpl w:val="FDAE819E"/>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abstractNum w:abstractNumId="6">
    <w:nsid w:val="6A035450"/>
    <w:multiLevelType w:val="hybridMultilevel"/>
    <w:tmpl w:val="67EA0E78"/>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nsid w:val="6ACF603F"/>
    <w:multiLevelType w:val="hybridMultilevel"/>
    <w:tmpl w:val="C83663C8"/>
    <w:lvl w:ilvl="0" w:tplc="58FAD5E8">
      <w:start w:val="1"/>
      <w:numFmt w:val="decimal"/>
      <w:lvlText w:val="%1."/>
      <w:lvlJc w:val="left"/>
      <w:pPr>
        <w:ind w:left="720" w:hanging="360"/>
      </w:pPr>
      <w:rPr>
        <w:rFonts w:ascii="Arial" w:eastAsiaTheme="minorHAnsi" w:hAnsi="Arial" w:cs="Arial"/>
      </w:rPr>
    </w:lvl>
    <w:lvl w:ilvl="1" w:tplc="2C090003">
      <w:start w:val="1"/>
      <w:numFmt w:val="bullet"/>
      <w:lvlText w:val="o"/>
      <w:lvlJc w:val="left"/>
      <w:pPr>
        <w:ind w:left="1440" w:hanging="360"/>
      </w:pPr>
      <w:rPr>
        <w:rFonts w:ascii="Courier New" w:hAnsi="Courier New" w:cs="Courier New" w:hint="default"/>
      </w:rPr>
    </w:lvl>
    <w:lvl w:ilvl="2" w:tplc="2C090005">
      <w:start w:val="1"/>
      <w:numFmt w:val="bullet"/>
      <w:lvlText w:val=""/>
      <w:lvlJc w:val="left"/>
      <w:pPr>
        <w:ind w:left="2160" w:hanging="360"/>
      </w:pPr>
      <w:rPr>
        <w:rFonts w:ascii="Wingdings" w:hAnsi="Wingdings" w:hint="default"/>
      </w:rPr>
    </w:lvl>
    <w:lvl w:ilvl="3" w:tplc="2C090001">
      <w:start w:val="1"/>
      <w:numFmt w:val="bullet"/>
      <w:lvlText w:val=""/>
      <w:lvlJc w:val="left"/>
      <w:pPr>
        <w:ind w:left="2880" w:hanging="360"/>
      </w:pPr>
      <w:rPr>
        <w:rFonts w:ascii="Symbol" w:hAnsi="Symbol" w:hint="default"/>
      </w:rPr>
    </w:lvl>
    <w:lvl w:ilvl="4" w:tplc="2C090003">
      <w:start w:val="1"/>
      <w:numFmt w:val="bullet"/>
      <w:lvlText w:val="o"/>
      <w:lvlJc w:val="left"/>
      <w:pPr>
        <w:ind w:left="3600" w:hanging="360"/>
      </w:pPr>
      <w:rPr>
        <w:rFonts w:ascii="Courier New" w:hAnsi="Courier New" w:cs="Courier New" w:hint="default"/>
      </w:rPr>
    </w:lvl>
    <w:lvl w:ilvl="5" w:tplc="2C090005">
      <w:start w:val="1"/>
      <w:numFmt w:val="bullet"/>
      <w:lvlText w:val=""/>
      <w:lvlJc w:val="left"/>
      <w:pPr>
        <w:ind w:left="4320" w:hanging="360"/>
      </w:pPr>
      <w:rPr>
        <w:rFonts w:ascii="Wingdings" w:hAnsi="Wingdings" w:hint="default"/>
      </w:rPr>
    </w:lvl>
    <w:lvl w:ilvl="6" w:tplc="2C090001">
      <w:start w:val="1"/>
      <w:numFmt w:val="bullet"/>
      <w:lvlText w:val=""/>
      <w:lvlJc w:val="left"/>
      <w:pPr>
        <w:ind w:left="5040" w:hanging="360"/>
      </w:pPr>
      <w:rPr>
        <w:rFonts w:ascii="Symbol" w:hAnsi="Symbol" w:hint="default"/>
      </w:rPr>
    </w:lvl>
    <w:lvl w:ilvl="7" w:tplc="2C090003">
      <w:start w:val="1"/>
      <w:numFmt w:val="bullet"/>
      <w:lvlText w:val="o"/>
      <w:lvlJc w:val="left"/>
      <w:pPr>
        <w:ind w:left="5760" w:hanging="360"/>
      </w:pPr>
      <w:rPr>
        <w:rFonts w:ascii="Courier New" w:hAnsi="Courier New" w:cs="Courier New" w:hint="default"/>
      </w:rPr>
    </w:lvl>
    <w:lvl w:ilvl="8" w:tplc="2C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7"/>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num>
  <w:num w:numId="7">
    <w:abstractNumId w:val="5"/>
  </w:num>
  <w:num w:numId="8">
    <w:abstractNumId w:val="5"/>
  </w:num>
  <w:num w:numId="9">
    <w:abstractNumId w:val="0"/>
  </w:num>
  <w:num w:numId="10">
    <w:abstractNumId w:val="0"/>
  </w:num>
  <w:num w:numId="11">
    <w:abstractNumId w:val="2"/>
  </w:num>
  <w:num w:numId="12">
    <w:abstractNumId w:val="2"/>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A5"/>
    <w:rsid w:val="00030039"/>
    <w:rsid w:val="00044E80"/>
    <w:rsid w:val="000647A5"/>
    <w:rsid w:val="000A5395"/>
    <w:rsid w:val="000E4F79"/>
    <w:rsid w:val="00157DA4"/>
    <w:rsid w:val="001675B8"/>
    <w:rsid w:val="001C02DE"/>
    <w:rsid w:val="001C43FB"/>
    <w:rsid w:val="00213FD0"/>
    <w:rsid w:val="00235313"/>
    <w:rsid w:val="00244DBC"/>
    <w:rsid w:val="002A05FE"/>
    <w:rsid w:val="002E3E90"/>
    <w:rsid w:val="002E5A7F"/>
    <w:rsid w:val="002E6A1B"/>
    <w:rsid w:val="00361140"/>
    <w:rsid w:val="00485404"/>
    <w:rsid w:val="004A4380"/>
    <w:rsid w:val="004A57F7"/>
    <w:rsid w:val="004C7AB9"/>
    <w:rsid w:val="00546CA4"/>
    <w:rsid w:val="00562D63"/>
    <w:rsid w:val="005A1313"/>
    <w:rsid w:val="006020F6"/>
    <w:rsid w:val="00616B81"/>
    <w:rsid w:val="00663EF3"/>
    <w:rsid w:val="006A60ED"/>
    <w:rsid w:val="006B1A79"/>
    <w:rsid w:val="006C21CE"/>
    <w:rsid w:val="006F5666"/>
    <w:rsid w:val="00721E64"/>
    <w:rsid w:val="0072478D"/>
    <w:rsid w:val="00725451"/>
    <w:rsid w:val="00734F9C"/>
    <w:rsid w:val="00746B02"/>
    <w:rsid w:val="007A4A06"/>
    <w:rsid w:val="007C58D9"/>
    <w:rsid w:val="007E2955"/>
    <w:rsid w:val="00830931"/>
    <w:rsid w:val="0083295A"/>
    <w:rsid w:val="008571E2"/>
    <w:rsid w:val="0088143E"/>
    <w:rsid w:val="00881BC6"/>
    <w:rsid w:val="008930C8"/>
    <w:rsid w:val="009063AA"/>
    <w:rsid w:val="009616E1"/>
    <w:rsid w:val="00977FDE"/>
    <w:rsid w:val="009B363F"/>
    <w:rsid w:val="009F4C56"/>
    <w:rsid w:val="00A0136F"/>
    <w:rsid w:val="00A504FF"/>
    <w:rsid w:val="00B01162"/>
    <w:rsid w:val="00B07B3C"/>
    <w:rsid w:val="00B110A8"/>
    <w:rsid w:val="00B218B6"/>
    <w:rsid w:val="00B233E7"/>
    <w:rsid w:val="00B23DCC"/>
    <w:rsid w:val="00BF60F3"/>
    <w:rsid w:val="00BF6F5B"/>
    <w:rsid w:val="00C21721"/>
    <w:rsid w:val="00C22F59"/>
    <w:rsid w:val="00C25537"/>
    <w:rsid w:val="00C520B3"/>
    <w:rsid w:val="00C6018C"/>
    <w:rsid w:val="00C7754A"/>
    <w:rsid w:val="00C81451"/>
    <w:rsid w:val="00D242ED"/>
    <w:rsid w:val="00DD23AD"/>
    <w:rsid w:val="00E3169D"/>
    <w:rsid w:val="00E36EE2"/>
    <w:rsid w:val="00E408DB"/>
    <w:rsid w:val="00E46819"/>
    <w:rsid w:val="00EA7DA2"/>
    <w:rsid w:val="00EB2251"/>
    <w:rsid w:val="00EB431F"/>
    <w:rsid w:val="00EF0CBB"/>
    <w:rsid w:val="00EF6467"/>
    <w:rsid w:val="00F16BB4"/>
    <w:rsid w:val="00F625B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647A5"/>
    <w:pPr>
      <w:spacing w:line="240" w:lineRule="auto"/>
    </w:pPr>
    <w:rPr>
      <w:sz w:val="20"/>
      <w:szCs w:val="20"/>
    </w:rPr>
  </w:style>
  <w:style w:type="character" w:customStyle="1" w:styleId="CommentTextChar">
    <w:name w:val="Comment Text Char"/>
    <w:basedOn w:val="DefaultParagraphFont"/>
    <w:link w:val="CommentText"/>
    <w:uiPriority w:val="99"/>
    <w:semiHidden/>
    <w:rsid w:val="000647A5"/>
    <w:rPr>
      <w:sz w:val="20"/>
      <w:szCs w:val="20"/>
    </w:rPr>
  </w:style>
  <w:style w:type="character" w:customStyle="1" w:styleId="HeaderChar">
    <w:name w:val="Header Char"/>
    <w:basedOn w:val="DefaultParagraphFont"/>
    <w:link w:val="Header"/>
    <w:uiPriority w:val="99"/>
    <w:rsid w:val="000647A5"/>
  </w:style>
  <w:style w:type="paragraph" w:styleId="Header">
    <w:name w:val="header"/>
    <w:basedOn w:val="Normal"/>
    <w:link w:val="HeaderChar"/>
    <w:uiPriority w:val="99"/>
    <w:unhideWhenUsed/>
    <w:rsid w:val="0006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A5"/>
  </w:style>
  <w:style w:type="paragraph" w:styleId="Footer">
    <w:name w:val="footer"/>
    <w:basedOn w:val="Normal"/>
    <w:link w:val="FooterChar"/>
    <w:uiPriority w:val="99"/>
    <w:unhideWhenUsed/>
    <w:rsid w:val="000647A5"/>
    <w:pPr>
      <w:tabs>
        <w:tab w:val="center" w:pos="4680"/>
        <w:tab w:val="right" w:pos="9360"/>
      </w:tabs>
      <w:spacing w:after="0" w:line="240" w:lineRule="auto"/>
    </w:pPr>
  </w:style>
  <w:style w:type="character" w:customStyle="1" w:styleId="CommentSubjectChar">
    <w:name w:val="Comment Subject Char"/>
    <w:basedOn w:val="CommentTextChar"/>
    <w:link w:val="CommentSubject"/>
    <w:uiPriority w:val="99"/>
    <w:semiHidden/>
    <w:rsid w:val="000647A5"/>
    <w:rPr>
      <w:b/>
      <w:bCs/>
      <w:sz w:val="20"/>
      <w:szCs w:val="20"/>
    </w:rPr>
  </w:style>
  <w:style w:type="paragraph" w:styleId="CommentSubject">
    <w:name w:val="annotation subject"/>
    <w:basedOn w:val="CommentText"/>
    <w:next w:val="CommentText"/>
    <w:link w:val="CommentSubjectChar"/>
    <w:uiPriority w:val="99"/>
    <w:semiHidden/>
    <w:unhideWhenUsed/>
    <w:rsid w:val="000647A5"/>
    <w:rPr>
      <w:b/>
      <w:bCs/>
    </w:rPr>
  </w:style>
  <w:style w:type="paragraph" w:styleId="BalloonText">
    <w:name w:val="Balloon Text"/>
    <w:basedOn w:val="Normal"/>
    <w:link w:val="BalloonTextChar"/>
    <w:uiPriority w:val="99"/>
    <w:semiHidden/>
    <w:unhideWhenUsed/>
    <w:rsid w:val="00064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7A5"/>
    <w:rPr>
      <w:rFonts w:ascii="Tahoma" w:hAnsi="Tahoma" w:cs="Tahoma"/>
      <w:sz w:val="16"/>
      <w:szCs w:val="16"/>
    </w:rPr>
  </w:style>
  <w:style w:type="paragraph" w:styleId="ListParagraph">
    <w:name w:val="List Paragraph"/>
    <w:basedOn w:val="Normal"/>
    <w:uiPriority w:val="34"/>
    <w:qFormat/>
    <w:rsid w:val="000647A5"/>
    <w:pPr>
      <w:ind w:left="720"/>
      <w:contextualSpacing/>
    </w:pPr>
  </w:style>
  <w:style w:type="table" w:styleId="TableGrid">
    <w:name w:val="Table Grid"/>
    <w:basedOn w:val="TableNormal"/>
    <w:uiPriority w:val="59"/>
    <w:rsid w:val="0006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6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647A5"/>
    <w:pPr>
      <w:spacing w:line="240" w:lineRule="auto"/>
    </w:pPr>
    <w:rPr>
      <w:sz w:val="20"/>
      <w:szCs w:val="20"/>
    </w:rPr>
  </w:style>
  <w:style w:type="character" w:customStyle="1" w:styleId="CommentTextChar">
    <w:name w:val="Comment Text Char"/>
    <w:basedOn w:val="DefaultParagraphFont"/>
    <w:link w:val="CommentText"/>
    <w:uiPriority w:val="99"/>
    <w:semiHidden/>
    <w:rsid w:val="000647A5"/>
    <w:rPr>
      <w:sz w:val="20"/>
      <w:szCs w:val="20"/>
    </w:rPr>
  </w:style>
  <w:style w:type="character" w:customStyle="1" w:styleId="HeaderChar">
    <w:name w:val="Header Char"/>
    <w:basedOn w:val="DefaultParagraphFont"/>
    <w:link w:val="Header"/>
    <w:uiPriority w:val="99"/>
    <w:rsid w:val="000647A5"/>
  </w:style>
  <w:style w:type="paragraph" w:styleId="Header">
    <w:name w:val="header"/>
    <w:basedOn w:val="Normal"/>
    <w:link w:val="HeaderChar"/>
    <w:uiPriority w:val="99"/>
    <w:unhideWhenUsed/>
    <w:rsid w:val="0006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A5"/>
  </w:style>
  <w:style w:type="paragraph" w:styleId="Footer">
    <w:name w:val="footer"/>
    <w:basedOn w:val="Normal"/>
    <w:link w:val="FooterChar"/>
    <w:uiPriority w:val="99"/>
    <w:unhideWhenUsed/>
    <w:rsid w:val="000647A5"/>
    <w:pPr>
      <w:tabs>
        <w:tab w:val="center" w:pos="4680"/>
        <w:tab w:val="right" w:pos="9360"/>
      </w:tabs>
      <w:spacing w:after="0" w:line="240" w:lineRule="auto"/>
    </w:pPr>
  </w:style>
  <w:style w:type="character" w:customStyle="1" w:styleId="CommentSubjectChar">
    <w:name w:val="Comment Subject Char"/>
    <w:basedOn w:val="CommentTextChar"/>
    <w:link w:val="CommentSubject"/>
    <w:uiPriority w:val="99"/>
    <w:semiHidden/>
    <w:rsid w:val="000647A5"/>
    <w:rPr>
      <w:b/>
      <w:bCs/>
      <w:sz w:val="20"/>
      <w:szCs w:val="20"/>
    </w:rPr>
  </w:style>
  <w:style w:type="paragraph" w:styleId="CommentSubject">
    <w:name w:val="annotation subject"/>
    <w:basedOn w:val="CommentText"/>
    <w:next w:val="CommentText"/>
    <w:link w:val="CommentSubjectChar"/>
    <w:uiPriority w:val="99"/>
    <w:semiHidden/>
    <w:unhideWhenUsed/>
    <w:rsid w:val="000647A5"/>
    <w:rPr>
      <w:b/>
      <w:bCs/>
    </w:rPr>
  </w:style>
  <w:style w:type="paragraph" w:styleId="BalloonText">
    <w:name w:val="Balloon Text"/>
    <w:basedOn w:val="Normal"/>
    <w:link w:val="BalloonTextChar"/>
    <w:uiPriority w:val="99"/>
    <w:semiHidden/>
    <w:unhideWhenUsed/>
    <w:rsid w:val="00064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7A5"/>
    <w:rPr>
      <w:rFonts w:ascii="Tahoma" w:hAnsi="Tahoma" w:cs="Tahoma"/>
      <w:sz w:val="16"/>
      <w:szCs w:val="16"/>
    </w:rPr>
  </w:style>
  <w:style w:type="paragraph" w:styleId="ListParagraph">
    <w:name w:val="List Paragraph"/>
    <w:basedOn w:val="Normal"/>
    <w:uiPriority w:val="34"/>
    <w:qFormat/>
    <w:rsid w:val="000647A5"/>
    <w:pPr>
      <w:ind w:left="720"/>
      <w:contextualSpacing/>
    </w:pPr>
  </w:style>
  <w:style w:type="table" w:styleId="TableGrid">
    <w:name w:val="Table Grid"/>
    <w:basedOn w:val="TableNormal"/>
    <w:uiPriority w:val="59"/>
    <w:rsid w:val="0006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6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6627</Words>
  <Characters>37778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Blair</dc:creator>
  <cp:lastModifiedBy>Erik</cp:lastModifiedBy>
  <cp:revision>3</cp:revision>
  <cp:lastPrinted>2013-09-23T18:04:00Z</cp:lastPrinted>
  <dcterms:created xsi:type="dcterms:W3CDTF">2013-09-25T14:04:00Z</dcterms:created>
  <dcterms:modified xsi:type="dcterms:W3CDTF">2013-12-04T19:50:00Z</dcterms:modified>
</cp:coreProperties>
</file>