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6B051" w14:textId="47C09917" w:rsidR="0024597C" w:rsidRPr="001D6B52" w:rsidRDefault="0024597C" w:rsidP="0024597C">
      <w:pPr>
        <w:tabs>
          <w:tab w:val="left" w:pos="921"/>
        </w:tabs>
        <w:spacing w:line="360" w:lineRule="auto"/>
        <w:rPr>
          <w:b/>
          <w:bCs/>
        </w:rPr>
      </w:pPr>
      <w:r w:rsidRPr="001D6B52">
        <w:rPr>
          <w:b/>
          <w:bCs/>
        </w:rPr>
        <w:t xml:space="preserve">Effects of Dietary </w:t>
      </w:r>
      <w:r w:rsidRPr="0024597C">
        <w:rPr>
          <w:b/>
          <w:bCs/>
        </w:rPr>
        <w:t xml:space="preserve">and lifestyle </w:t>
      </w:r>
      <w:r w:rsidRPr="001D6B52">
        <w:rPr>
          <w:b/>
          <w:bCs/>
        </w:rPr>
        <w:t>management on type 2 diabetes development among Ethnic minority adults living in the UK: A generational shift</w:t>
      </w:r>
    </w:p>
    <w:p w14:paraId="2697BCC3" w14:textId="77777777" w:rsidR="0024597C" w:rsidRPr="001D6B52" w:rsidRDefault="0024597C" w:rsidP="0024597C">
      <w:pPr>
        <w:shd w:val="clear" w:color="auto" w:fill="FFFFFF"/>
      </w:pPr>
      <w:r w:rsidRPr="00A40369">
        <w:rPr>
          <w:b/>
          <w:bCs/>
          <w:u w:val="single"/>
        </w:rPr>
        <w:t>Arif Ahmed</w:t>
      </w:r>
      <w:r w:rsidRPr="00A40369">
        <w:rPr>
          <w:b/>
          <w:bCs/>
          <w:u w:val="single"/>
          <w:vertAlign w:val="superscript"/>
        </w:rPr>
        <w:t>1</w:t>
      </w:r>
      <w:r>
        <w:rPr>
          <w:vertAlign w:val="superscript"/>
        </w:rPr>
        <w:t>*</w:t>
      </w:r>
      <w:r>
        <w:t>, Amalia Tsiami</w:t>
      </w:r>
      <w:r>
        <w:rPr>
          <w:vertAlign w:val="superscript"/>
        </w:rPr>
        <w:t>1</w:t>
      </w:r>
      <w:r>
        <w:t>, Hafiz T.A. Khan</w:t>
      </w:r>
      <w:r>
        <w:rPr>
          <w:vertAlign w:val="superscript"/>
        </w:rPr>
        <w:t>2</w:t>
      </w:r>
      <w:r w:rsidRPr="001D6B52">
        <w:t xml:space="preserve">                                     </w:t>
      </w:r>
    </w:p>
    <w:p w14:paraId="26314F65" w14:textId="77777777" w:rsidR="0024597C" w:rsidRDefault="0024597C" w:rsidP="0024597C"/>
    <w:p w14:paraId="4CBFA544" w14:textId="77777777" w:rsidR="0024597C" w:rsidRDefault="0024597C" w:rsidP="0024597C">
      <w:pPr>
        <w:rPr>
          <w:color w:val="222222"/>
          <w:shd w:val="clear" w:color="auto" w:fill="FFFFFF"/>
        </w:rPr>
      </w:pPr>
      <w:r>
        <w:rPr>
          <w:color w:val="222222"/>
          <w:shd w:val="clear" w:color="auto" w:fill="FFFFFF"/>
          <w:vertAlign w:val="superscript"/>
        </w:rPr>
        <w:t>1</w:t>
      </w:r>
      <w:r w:rsidRPr="001D6B52">
        <w:rPr>
          <w:color w:val="222222"/>
          <w:shd w:val="clear" w:color="auto" w:fill="FFFFFF"/>
        </w:rPr>
        <w:t>London Geller College of Hospitality and Tourism</w:t>
      </w:r>
      <w:r>
        <w:rPr>
          <w:color w:val="222222"/>
          <w:shd w:val="clear" w:color="auto" w:fill="FFFFFF"/>
        </w:rPr>
        <w:t>, University of West London, London</w:t>
      </w:r>
    </w:p>
    <w:p w14:paraId="6F33F7CB" w14:textId="77777777" w:rsidR="0024597C" w:rsidRDefault="0024597C" w:rsidP="0024597C">
      <w:pPr>
        <w:rPr>
          <w:color w:val="222222"/>
          <w:shd w:val="clear" w:color="auto" w:fill="FFFFFF"/>
        </w:rPr>
      </w:pPr>
      <w:r>
        <w:rPr>
          <w:vertAlign w:val="superscript"/>
        </w:rPr>
        <w:t>2</w:t>
      </w:r>
      <w:r w:rsidRPr="001D6B52">
        <w:t>College of Nursing, Midwifery and Healthcare</w:t>
      </w:r>
      <w:r>
        <w:t xml:space="preserve">, </w:t>
      </w:r>
      <w:r>
        <w:rPr>
          <w:color w:val="222222"/>
          <w:shd w:val="clear" w:color="auto" w:fill="FFFFFF"/>
        </w:rPr>
        <w:t>University of West London, London</w:t>
      </w:r>
    </w:p>
    <w:p w14:paraId="37B61BA3" w14:textId="77777777" w:rsidR="0024597C" w:rsidRDefault="0024597C" w:rsidP="0024597C">
      <w:r>
        <w:rPr>
          <w:vertAlign w:val="superscript"/>
        </w:rPr>
        <w:t>*</w:t>
      </w:r>
      <w:r>
        <w:t>Presenter</w:t>
      </w:r>
    </w:p>
    <w:p w14:paraId="3BEA3260" w14:textId="77777777" w:rsidR="0024597C" w:rsidRDefault="00523118" w:rsidP="0024597C">
      <w:pPr>
        <w:spacing w:line="360" w:lineRule="auto"/>
        <w:rPr>
          <w:rFonts w:asciiTheme="minorBidi" w:hAnsiTheme="minorBidi"/>
        </w:rPr>
      </w:pPr>
      <w:r>
        <w:rPr>
          <w:rFonts w:asciiTheme="minorBidi" w:hAnsiTheme="minorBidi"/>
          <w:noProof/>
        </w:rPr>
        <w:pict w14:anchorId="0E98C767">
          <v:rect id="_x0000_i1025" alt="" style="width:451.3pt;height:.05pt;mso-width-percent:0;mso-height-percent:0;mso-width-percent:0;mso-height-percent:0" o:hralign="center" o:hrstd="t" o:hr="t" fillcolor="#a0a0a0" stroked="f"/>
        </w:pict>
      </w:r>
    </w:p>
    <w:p w14:paraId="229B54E2" w14:textId="7946A0C1" w:rsidR="0024597C" w:rsidRPr="00AD71B9" w:rsidRDefault="0024597C" w:rsidP="0024597C">
      <w:pPr>
        <w:spacing w:line="360" w:lineRule="auto"/>
        <w:rPr>
          <w:rFonts w:asciiTheme="minorBidi" w:hAnsiTheme="minorBidi"/>
          <w:b/>
          <w:bCs/>
        </w:rPr>
      </w:pPr>
      <w:r w:rsidRPr="00AD71B9">
        <w:rPr>
          <w:rFonts w:asciiTheme="minorBidi" w:hAnsiTheme="minorBidi"/>
          <w:b/>
          <w:bCs/>
        </w:rPr>
        <w:t>Keywords:</w:t>
      </w:r>
      <w:r>
        <w:rPr>
          <w:rFonts w:asciiTheme="minorBidi" w:hAnsiTheme="minorBidi"/>
          <w:b/>
          <w:bCs/>
        </w:rPr>
        <w:t xml:space="preserve"> </w:t>
      </w:r>
      <w:r>
        <w:rPr>
          <w:rFonts w:asciiTheme="minorBidi" w:hAnsiTheme="minorBidi"/>
        </w:rPr>
        <w:t xml:space="preserve">Generation, Ethnic adults, Dietary &amp; lifestyle habits, Type 2 diabetes </w:t>
      </w:r>
    </w:p>
    <w:p w14:paraId="178FB262" w14:textId="715A929E" w:rsidR="008D6C16" w:rsidRPr="00FB57F8" w:rsidRDefault="008D6C16" w:rsidP="00CF0DD8">
      <w:pPr>
        <w:pStyle w:val="NormalWeb"/>
        <w:spacing w:before="0" w:after="0" w:line="360" w:lineRule="auto"/>
        <w:jc w:val="both"/>
        <w:rPr>
          <w:b/>
          <w:bCs/>
          <w:lang w:val="en-GB"/>
        </w:rPr>
      </w:pPr>
    </w:p>
    <w:p w14:paraId="4B1137AC" w14:textId="3AB79D14" w:rsidR="00CF0DD8" w:rsidRPr="003D4BBB"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b/>
          <w:bCs/>
          <w:color w:val="0E101A"/>
          <w:szCs w:val="24"/>
          <w:lang w:eastAsia="en-GB"/>
        </w:rPr>
        <w:t>Introduction</w:t>
      </w:r>
    </w:p>
    <w:p w14:paraId="7A88E1EB" w14:textId="3F2F3672" w:rsid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Non-communicable diseases (NCD) contribute to most health problems worldwide and are the main drivers for causing disability</w:t>
      </w:r>
      <w:r w:rsidR="001078EC">
        <w:rPr>
          <w:rFonts w:eastAsia="Times New Roman"/>
          <w:color w:val="0E101A"/>
          <w:szCs w:val="24"/>
          <w:lang w:eastAsia="en-GB"/>
        </w:rPr>
        <w:t xml:space="preserve"> </w:t>
      </w:r>
      <w:r w:rsidR="001078EC">
        <w:rPr>
          <w:rFonts w:eastAsia="Times New Roman"/>
          <w:color w:val="0E101A"/>
          <w:szCs w:val="24"/>
          <w:lang w:eastAsia="en-GB"/>
        </w:rPr>
        <w:fldChar w:fldCharType="begin" w:fldLock="1"/>
      </w:r>
      <w:r w:rsidR="001078EC">
        <w:rPr>
          <w:rFonts w:eastAsia="Times New Roman"/>
          <w:color w:val="0E101A"/>
          <w:szCs w:val="24"/>
          <w:lang w:eastAsia="en-GB"/>
        </w:rPr>
        <w:instrText>ADDIN CSL_CITATION {"citationItems":[{"id":"ITEM-1","itemData":{"abstract":"Reliable, comparable information about the main causes of disease and injury in populations, and how these are changing, is a critical input for debates about priorities in the health sector. Traditional sources of information about the descriptive epidemiology of diseases, injuries, and risk factors are generally incomplete, fragmented, and of uncertain reliability and comparability. The Global Burden of Disease (GBD) Study has provided a conceptual and methodological framework to quantify and compare the health of populations using a summary measure of both mortality and disability, the disability-adjusted life year (DALY). This article describes key features of the Global Burden of Disease analytic approach, the evolution of the GBD starting from the first study for the year 1990, and summarizes the methodological improvements incorporated into GBD revisions carried out by the World Health Organization. It also reviews controversies and criticisms, and examines priorities and issues for future GBD updates.","author":[{"dropping-particle":"","family":"Global Burden of Disease Study","given":"","non-dropping-particle":"","parse-names":false,"suffix":""}],"container-title":"The Lancet","id":"ITEM-1","issued":{"date-parts":[["2017"]]},"page":"1-27","title":"Global Burden of Disease Study 2017","type":"article-journal","volume":"5"},"uris":["http://www.mendeley.com/documents/?uuid=a0eeb129-4176-4157-9329-277005ca7fa5"]}],"mendeley":{"formattedCitation":"(Global Burden of Disease Study, 2017)","plainTextFormattedCitation":"(Global Burden of Disease Study, 2017)","previouslyFormattedCitation":"(Global Burden of Disease Study, 2017)"},"properties":{"noteIndex":0},"schema":"https://github.com/citation-style-language/schema/raw/master/csl-citation.json"}</w:instrText>
      </w:r>
      <w:r w:rsidR="001078EC">
        <w:rPr>
          <w:rFonts w:eastAsia="Times New Roman"/>
          <w:color w:val="0E101A"/>
          <w:szCs w:val="24"/>
          <w:lang w:eastAsia="en-GB"/>
        </w:rPr>
        <w:fldChar w:fldCharType="separate"/>
      </w:r>
      <w:r w:rsidR="001078EC" w:rsidRPr="001078EC">
        <w:rPr>
          <w:rFonts w:eastAsia="Times New Roman"/>
          <w:noProof/>
          <w:color w:val="0E101A"/>
          <w:szCs w:val="24"/>
          <w:lang w:eastAsia="en-GB"/>
        </w:rPr>
        <w:t>(Global Burden of Disease Study, 2017)</w:t>
      </w:r>
      <w:r w:rsidR="001078EC">
        <w:rPr>
          <w:rFonts w:eastAsia="Times New Roman"/>
          <w:color w:val="0E101A"/>
          <w:szCs w:val="24"/>
          <w:lang w:eastAsia="en-GB"/>
        </w:rPr>
        <w:fldChar w:fldCharType="end"/>
      </w:r>
      <w:r w:rsidRPr="00CF0DD8">
        <w:rPr>
          <w:rFonts w:eastAsia="Times New Roman"/>
          <w:color w:val="0E101A"/>
          <w:szCs w:val="24"/>
          <w:lang w:eastAsia="en-GB"/>
        </w:rPr>
        <w:t>. An increase in disability globally was observed due to metabolic conditions such as type</w:t>
      </w:r>
      <w:r w:rsidR="00C9056B">
        <w:rPr>
          <w:rFonts w:eastAsia="Times New Roman"/>
          <w:color w:val="0E101A"/>
          <w:szCs w:val="24"/>
          <w:lang w:eastAsia="en-GB"/>
        </w:rPr>
        <w:t>-</w:t>
      </w:r>
      <w:r w:rsidRPr="00CF0DD8">
        <w:rPr>
          <w:rFonts w:eastAsia="Times New Roman"/>
          <w:color w:val="0E101A"/>
          <w:szCs w:val="24"/>
          <w:lang w:eastAsia="en-GB"/>
        </w:rPr>
        <w:t>2 diabetes (T2D)</w:t>
      </w:r>
      <w:r w:rsidR="001078EC">
        <w:rPr>
          <w:rFonts w:eastAsia="Times New Roman"/>
          <w:color w:val="0E101A"/>
          <w:szCs w:val="24"/>
          <w:lang w:eastAsia="en-GB"/>
        </w:rPr>
        <w:t xml:space="preserve"> </w:t>
      </w:r>
      <w:r w:rsidR="001078EC">
        <w:rPr>
          <w:rFonts w:eastAsia="Times New Roman"/>
          <w:color w:val="0E101A"/>
          <w:szCs w:val="24"/>
          <w:lang w:eastAsia="en-GB"/>
        </w:rPr>
        <w:fldChar w:fldCharType="begin" w:fldLock="1"/>
      </w:r>
      <w:r w:rsidR="001078EC">
        <w:rPr>
          <w:rFonts w:eastAsia="Times New Roman"/>
          <w:color w:val="0E101A"/>
          <w:szCs w:val="24"/>
          <w:lang w:eastAsia="en-GB"/>
        </w:rPr>
        <w:instrText>ADDIN CSL_CITATION {"citationItems":[{"id":"ITEM-1","itemData":{"abstract":"Reliable, comparable information about the main causes of disease and injury in populations, and how these are changing, is a critical input for debates about priorities in the health sector. Traditional sources of information about the descriptive epidemiology of diseases, injuries, and risk factors are generally incomplete, fragmented, and of uncertain reliability and comparability. The Global Burden of Disease (GBD) Study has provided a conceptual and methodological framework to quantify and compare the health of populations using a summary measure of both mortality and disability, the disability-adjusted life year (DALY). This article describes key features of the Global Burden of Disease analytic approach, the evolution of the GBD starting from the first study for the year 1990, and summarizes the methodological improvements incorporated into GBD revisions carried out by the World Health Organization. It also reviews controversies and criticisms, and examines priorities and issues for future GBD updates.","author":[{"dropping-particle":"","family":"Global Burden of Disease Study","given":"","non-dropping-particle":"","parse-names":false,"suffix":""}],"container-title":"The Lancet","id":"ITEM-1","issued":{"date-parts":[["2017"]]},"page":"1-27","title":"Global Burden of Disease Study 2017","type":"article-journal","volume":"5"},"uris":["http://www.mendeley.com/documents/?uuid=a0eeb129-4176-4157-9329-277005ca7fa5"]}],"mendeley":{"formattedCitation":"(Global Burden of Disease Study, 2017)","plainTextFormattedCitation":"(Global Burden of Disease Study, 2017)","previouslyFormattedCitation":"(Global Burden of Disease Study, 2017)"},"properties":{"noteIndex":0},"schema":"https://github.com/citation-style-language/schema/raw/master/csl-citation.json"}</w:instrText>
      </w:r>
      <w:r w:rsidR="001078EC">
        <w:rPr>
          <w:rFonts w:eastAsia="Times New Roman"/>
          <w:color w:val="0E101A"/>
          <w:szCs w:val="24"/>
          <w:lang w:eastAsia="en-GB"/>
        </w:rPr>
        <w:fldChar w:fldCharType="separate"/>
      </w:r>
      <w:r w:rsidR="001078EC" w:rsidRPr="001078EC">
        <w:rPr>
          <w:rFonts w:eastAsia="Times New Roman"/>
          <w:noProof/>
          <w:color w:val="0E101A"/>
          <w:szCs w:val="24"/>
          <w:lang w:eastAsia="en-GB"/>
        </w:rPr>
        <w:t>(Global Burden of Disease Study, 2017)</w:t>
      </w:r>
      <w:r w:rsidR="001078EC">
        <w:rPr>
          <w:rFonts w:eastAsia="Times New Roman"/>
          <w:color w:val="0E101A"/>
          <w:szCs w:val="24"/>
          <w:lang w:eastAsia="en-GB"/>
        </w:rPr>
        <w:fldChar w:fldCharType="end"/>
      </w:r>
      <w:r w:rsidRPr="00CF0DD8">
        <w:rPr>
          <w:rFonts w:eastAsia="Times New Roman"/>
          <w:color w:val="0E101A"/>
          <w:szCs w:val="24"/>
          <w:lang w:eastAsia="en-GB"/>
        </w:rPr>
        <w:t xml:space="preserve">. Besides disability, </w:t>
      </w:r>
      <w:r w:rsidR="00C9056B">
        <w:rPr>
          <w:rFonts w:eastAsia="Times New Roman"/>
          <w:color w:val="0E101A"/>
          <w:szCs w:val="24"/>
          <w:lang w:eastAsia="en-GB"/>
        </w:rPr>
        <w:t xml:space="preserve">diabetes is today also one of </w:t>
      </w:r>
      <w:r w:rsidRPr="00CF0DD8">
        <w:rPr>
          <w:rFonts w:eastAsia="Times New Roman"/>
          <w:color w:val="0E101A"/>
          <w:szCs w:val="24"/>
          <w:lang w:eastAsia="en-GB"/>
        </w:rPr>
        <w:t>the top ten causes of death worldwide</w:t>
      </w:r>
      <w:r w:rsidR="001078EC">
        <w:rPr>
          <w:rFonts w:eastAsia="Times New Roman"/>
          <w:color w:val="0E101A"/>
          <w:szCs w:val="24"/>
          <w:lang w:eastAsia="en-GB"/>
        </w:rPr>
        <w:t xml:space="preserve"> </w:t>
      </w:r>
      <w:r w:rsidR="001078EC">
        <w:rPr>
          <w:rFonts w:eastAsia="Times New Roman"/>
          <w:color w:val="0E101A"/>
          <w:szCs w:val="24"/>
          <w:lang w:eastAsia="en-GB"/>
        </w:rPr>
        <w:fldChar w:fldCharType="begin" w:fldLock="1"/>
      </w:r>
      <w:r w:rsidR="001078EC">
        <w:rPr>
          <w:rFonts w:eastAsia="Times New Roman"/>
          <w:color w:val="0E101A"/>
          <w:szCs w:val="24"/>
          <w:lang w:eastAsia="en-GB"/>
        </w:rPr>
        <w:instrText>ADDIN CSL_CITATION {"citationItems":[{"id":"ITEM-1","itemData":{"DOI":"10.1017/jns.2020.7","ISSN":"20486790","abstract":"Copyright © The Author(s) 2020. A low intake of fruit and vegetables is a significant contributor to the global burden of disease. The aim of this study was to estimate the size of the risk of type 2 diabetes (T2D) of a low intake and to investigate possible sex differences. In this regard, this study used a longitudinal data from the Stockholm Public Health Cohort located in Sweden, collected in 2010 and 2014. The analysis included 14 718 men and 20 589 women aged 25 to 84 years. Fruit and vegetable intake, separately &lt;2 servings/d or combined &lt;4 servings/d (one serving corresponding to 100 g) was set as a cut-point for low intake. The sex difference at baseline was examined. Sex-stratified logistic regression was performed with onset of T2D as the outcome and fruit and vegetable intake at baseline as the exposure with adjustment for other known risk factors. Results indicate that men consumed significantly (P &lt; 0.001) less fruit and vegetables compared with women. A 62 % higher risk to develop T2D over the 4-year period was observed in men who had low vegetable intake compared with high intake after adjusting for age, education, BMI, smoking, alcohol and physical activity (OR 1.62; 95 % CI 1.00, 2.63). In women, a significantly higher risk of T2D was also observed with a low intake of vegetables, but not after adjustment. The present study suggests that higher consumption of vegetables seems to be protective for the onset of T2D in men. Thus, increasing the intake of vegetables in men should be a public health priority.","author":[{"dropping-particle":"","family":"Ahmed","given":"A.","non-dropping-particle":"","parse-names":false,"suffix":""},{"dropping-particle":"","family":"Lager","given":"A.","non-dropping-particle":"","parse-names":false,"suffix":""},{"dropping-particle":"","family":"Fredlund","given":"P.","non-dropping-particle":"","parse-names":false,"suffix":""},{"dropping-particle":"","family":"Elinder","given":"L.S.","non-dropping-particle":"","parse-names":false,"suffix":""}],"container-title":"Journal of Nutritional Science","id":"ITEM-1","issued":{"date-parts":[["2020"]]},"title":"Consumption of fruit and vegetables and the risk of type 2 diabetes: A 4-year longitudinal study among Swedish adults","type":"article-journal"},"uris":["http://www.mendeley.com/documents/?uuid=2c354ca1-9e03-31b8-b6bf-3af0187743f9"]}],"mendeley":{"formattedCitation":"(Ahmed &lt;i&gt;et al.&lt;/i&gt;, 2020)","plainTextFormattedCitation":"(Ahmed et al., 2020)","previouslyFormattedCitation":"(Ahmed &lt;i&gt;et al.&lt;/i&gt;, 2020)"},"properties":{"noteIndex":0},"schema":"https://github.com/citation-style-language/schema/raw/master/csl-citation.json"}</w:instrText>
      </w:r>
      <w:r w:rsidR="001078EC">
        <w:rPr>
          <w:rFonts w:eastAsia="Times New Roman"/>
          <w:color w:val="0E101A"/>
          <w:szCs w:val="24"/>
          <w:lang w:eastAsia="en-GB"/>
        </w:rPr>
        <w:fldChar w:fldCharType="separate"/>
      </w:r>
      <w:r w:rsidR="001078EC" w:rsidRPr="001078EC">
        <w:rPr>
          <w:rFonts w:eastAsia="Times New Roman"/>
          <w:noProof/>
          <w:color w:val="0E101A"/>
          <w:szCs w:val="24"/>
          <w:lang w:eastAsia="en-GB"/>
        </w:rPr>
        <w:t xml:space="preserve">(Ahmed </w:t>
      </w:r>
      <w:r w:rsidR="001078EC" w:rsidRPr="001078EC">
        <w:rPr>
          <w:rFonts w:eastAsia="Times New Roman"/>
          <w:i/>
          <w:noProof/>
          <w:color w:val="0E101A"/>
          <w:szCs w:val="24"/>
          <w:lang w:eastAsia="en-GB"/>
        </w:rPr>
        <w:t>et al.</w:t>
      </w:r>
      <w:r w:rsidR="001078EC" w:rsidRPr="001078EC">
        <w:rPr>
          <w:rFonts w:eastAsia="Times New Roman"/>
          <w:noProof/>
          <w:color w:val="0E101A"/>
          <w:szCs w:val="24"/>
          <w:lang w:eastAsia="en-GB"/>
        </w:rPr>
        <w:t>, 2020)</w:t>
      </w:r>
      <w:r w:rsidR="001078EC">
        <w:rPr>
          <w:rFonts w:eastAsia="Times New Roman"/>
          <w:color w:val="0E101A"/>
          <w:szCs w:val="24"/>
          <w:lang w:eastAsia="en-GB"/>
        </w:rPr>
        <w:fldChar w:fldCharType="end"/>
      </w:r>
      <w:r w:rsidRPr="00CF0DD8">
        <w:rPr>
          <w:rFonts w:eastAsia="Times New Roman"/>
          <w:color w:val="0E101A"/>
          <w:szCs w:val="24"/>
          <w:lang w:eastAsia="en-GB"/>
        </w:rPr>
        <w:t xml:space="preserve">; thus, it has become </w:t>
      </w:r>
      <w:r w:rsidR="00C9056B">
        <w:rPr>
          <w:rFonts w:eastAsia="Times New Roman"/>
          <w:color w:val="0E101A"/>
          <w:szCs w:val="24"/>
          <w:lang w:eastAsia="en-GB"/>
        </w:rPr>
        <w:t xml:space="preserve">a common disease which needs </w:t>
      </w:r>
      <w:r w:rsidRPr="00CF0DD8">
        <w:rPr>
          <w:rFonts w:eastAsia="Times New Roman"/>
          <w:color w:val="0E101A"/>
          <w:szCs w:val="24"/>
          <w:lang w:eastAsia="en-GB"/>
        </w:rPr>
        <w:t xml:space="preserve">health emergencies. A rapid burden of diabetes in adults is observed in the UK and </w:t>
      </w:r>
      <w:r w:rsidR="00C9056B">
        <w:rPr>
          <w:rFonts w:eastAsia="Times New Roman"/>
          <w:color w:val="0E101A"/>
          <w:szCs w:val="24"/>
          <w:lang w:eastAsia="en-GB"/>
        </w:rPr>
        <w:t xml:space="preserve">the prevalence </w:t>
      </w:r>
      <w:r w:rsidRPr="00CF0DD8">
        <w:rPr>
          <w:rFonts w:eastAsia="Times New Roman"/>
          <w:color w:val="0E101A"/>
          <w:szCs w:val="24"/>
          <w:lang w:eastAsia="en-GB"/>
        </w:rPr>
        <w:t>is increasing</w:t>
      </w:r>
      <w:r w:rsidR="00C9056B">
        <w:rPr>
          <w:rFonts w:eastAsia="Times New Roman"/>
          <w:color w:val="0E101A"/>
          <w:szCs w:val="24"/>
          <w:lang w:eastAsia="en-GB"/>
        </w:rPr>
        <w:t xml:space="preserve"> over time</w:t>
      </w:r>
      <w:r w:rsidR="001078EC">
        <w:rPr>
          <w:rFonts w:eastAsia="Times New Roman"/>
          <w:color w:val="0E101A"/>
          <w:szCs w:val="24"/>
          <w:lang w:eastAsia="en-GB"/>
        </w:rPr>
        <w:t xml:space="preserve"> </w:t>
      </w:r>
      <w:r w:rsidR="001078EC">
        <w:rPr>
          <w:rFonts w:eastAsia="Times New Roman"/>
          <w:color w:val="0E101A"/>
          <w:szCs w:val="24"/>
          <w:lang w:eastAsia="en-GB"/>
        </w:rPr>
        <w:fldChar w:fldCharType="begin" w:fldLock="1"/>
      </w:r>
      <w:r w:rsidR="007E6DA7">
        <w:rPr>
          <w:rFonts w:eastAsia="Times New Roman"/>
          <w:color w:val="0E101A"/>
          <w:szCs w:val="24"/>
          <w:lang w:eastAsia="en-GB"/>
        </w:rPr>
        <w:instrText>ADDIN CSL_CITATION {"citationItems":[{"id":"ITEM-1","itemData":{"URL":"https://www.diabetes.org.uk/about_us/news/new-stats-people-living-with-diabetes","author":[{"dropping-particle":"","family":"Diabetes UK","given":"","non-dropping-particle":"","parse-names":false,"suffix":""}],"container-title":"Diabetes UK","id":"ITEM-1","issued":{"date-parts":[["2019"]]},"page":"1-48","title":"Diabetes UK Facts and Figures 2019","type":"webpage"},"uris":["http://www.mendeley.com/documents/?uuid=8ee8e256-cf3f-4522-99d9-ceab1ce9712f"]}],"mendeley":{"formattedCitation":"(Diabetes UK, 2019)","plainTextFormattedCitation":"(Diabetes UK, 2019)","previouslyFormattedCitation":"(Diabetes UK, 2019)"},"properties":{"noteIndex":0},"schema":"https://github.com/citation-style-language/schema/raw/master/csl-citation.json"}</w:instrText>
      </w:r>
      <w:r w:rsidR="001078EC">
        <w:rPr>
          <w:rFonts w:eastAsia="Times New Roman"/>
          <w:color w:val="0E101A"/>
          <w:szCs w:val="24"/>
          <w:lang w:eastAsia="en-GB"/>
        </w:rPr>
        <w:fldChar w:fldCharType="separate"/>
      </w:r>
      <w:r w:rsidR="001078EC" w:rsidRPr="001078EC">
        <w:rPr>
          <w:rFonts w:eastAsia="Times New Roman"/>
          <w:noProof/>
          <w:color w:val="0E101A"/>
          <w:szCs w:val="24"/>
          <w:lang w:eastAsia="en-GB"/>
        </w:rPr>
        <w:t>(Diabetes UK, 2019)</w:t>
      </w:r>
      <w:r w:rsidR="001078EC">
        <w:rPr>
          <w:rFonts w:eastAsia="Times New Roman"/>
          <w:color w:val="0E101A"/>
          <w:szCs w:val="24"/>
          <w:lang w:eastAsia="en-GB"/>
        </w:rPr>
        <w:fldChar w:fldCharType="end"/>
      </w:r>
      <w:r w:rsidRPr="00CF0DD8">
        <w:rPr>
          <w:rFonts w:eastAsia="Times New Roman"/>
          <w:color w:val="0E101A"/>
          <w:szCs w:val="24"/>
          <w:lang w:eastAsia="en-GB"/>
        </w:rPr>
        <w:t>. The higher risk group of T2D includes ethnic populations such as South Asian or Black Afro-Caribbean people</w:t>
      </w:r>
      <w:r w:rsidR="007E6DA7">
        <w:rPr>
          <w:rFonts w:eastAsia="Times New Roman"/>
          <w:color w:val="0E101A"/>
          <w:szCs w:val="24"/>
          <w:lang w:eastAsia="en-GB"/>
        </w:rPr>
        <w:t xml:space="preserve"> </w:t>
      </w:r>
      <w:r w:rsidR="007E6DA7">
        <w:rPr>
          <w:rFonts w:eastAsia="Times New Roman"/>
          <w:color w:val="0E101A"/>
          <w:szCs w:val="24"/>
          <w:lang w:eastAsia="en-GB"/>
        </w:rPr>
        <w:fldChar w:fldCharType="begin" w:fldLock="1"/>
      </w:r>
      <w:r w:rsidR="008B7FB2">
        <w:rPr>
          <w:rFonts w:eastAsia="Times New Roman"/>
          <w:color w:val="0E101A"/>
          <w:szCs w:val="24"/>
          <w:lang w:eastAsia="en-GB"/>
        </w:rPr>
        <w:instrText>ADDIN CSL_CITATION {"citationItems":[{"id":"ITEM-1","itemData":{"URL":"https://www.diabetes.org.uk/about_us/news/new-stats-people-living-with-diabetes","author":[{"dropping-particle":"","family":"Diabetes UK","given":"","non-dropping-particle":"","parse-names":false,"suffix":""}],"container-title":"Diabetes UK","id":"ITEM-1","issued":{"date-parts":[["2019"]]},"page":"1-48","title":"Diabetes UK Facts and Figures 2019","type":"webpage"},"uris":["http://www.mendeley.com/documents/?uuid=8ee8e256-cf3f-4522-99d9-ceab1ce9712f"]}],"mendeley":{"formattedCitation":"(Diabetes UK, 2019)","plainTextFormattedCitation":"(Diabetes UK, 2019)","previouslyFormattedCitation":"(Diabetes UK, 2019)"},"properties":{"noteIndex":0},"schema":"https://github.com/citation-style-language/schema/raw/master/csl-citation.json"}</w:instrText>
      </w:r>
      <w:r w:rsidR="007E6DA7">
        <w:rPr>
          <w:rFonts w:eastAsia="Times New Roman"/>
          <w:color w:val="0E101A"/>
          <w:szCs w:val="24"/>
          <w:lang w:eastAsia="en-GB"/>
        </w:rPr>
        <w:fldChar w:fldCharType="separate"/>
      </w:r>
      <w:r w:rsidR="007E6DA7" w:rsidRPr="007E6DA7">
        <w:rPr>
          <w:rFonts w:eastAsia="Times New Roman"/>
          <w:noProof/>
          <w:color w:val="0E101A"/>
          <w:szCs w:val="24"/>
          <w:lang w:eastAsia="en-GB"/>
        </w:rPr>
        <w:t>(Diabetes UK, 2019)</w:t>
      </w:r>
      <w:r w:rsidR="007E6DA7">
        <w:rPr>
          <w:rFonts w:eastAsia="Times New Roman"/>
          <w:color w:val="0E101A"/>
          <w:szCs w:val="24"/>
          <w:lang w:eastAsia="en-GB"/>
        </w:rPr>
        <w:fldChar w:fldCharType="end"/>
      </w:r>
      <w:r w:rsidRPr="00CF0DD8">
        <w:rPr>
          <w:rFonts w:eastAsia="Times New Roman"/>
          <w:color w:val="0E101A"/>
          <w:szCs w:val="24"/>
          <w:lang w:eastAsia="en-GB"/>
        </w:rPr>
        <w:t>.</w:t>
      </w:r>
    </w:p>
    <w:p w14:paraId="61340C02" w14:textId="77777777" w:rsidR="003D4BBB" w:rsidRPr="00CF0DD8" w:rsidRDefault="003D4BBB" w:rsidP="00CF0DD8">
      <w:pPr>
        <w:suppressAutoHyphens w:val="0"/>
        <w:autoSpaceDN/>
        <w:spacing w:after="0" w:line="360" w:lineRule="auto"/>
        <w:jc w:val="both"/>
        <w:textAlignment w:val="auto"/>
        <w:rPr>
          <w:rFonts w:eastAsia="Times New Roman"/>
          <w:color w:val="0E101A"/>
          <w:szCs w:val="24"/>
          <w:lang w:eastAsia="en-GB"/>
        </w:rPr>
      </w:pPr>
    </w:p>
    <w:p w14:paraId="704FF03A" w14:textId="73B24D9F"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Jointly genetic, epigenetic, and environmental factors related to T2D</w:t>
      </w:r>
      <w:r w:rsidR="008B7FB2">
        <w:rPr>
          <w:rFonts w:eastAsia="Times New Roman"/>
          <w:color w:val="0E101A"/>
          <w:szCs w:val="24"/>
          <w:lang w:eastAsia="en-GB"/>
        </w:rPr>
        <w:t xml:space="preserve"> </w:t>
      </w:r>
      <w:r w:rsidR="008B7FB2">
        <w:rPr>
          <w:rFonts w:eastAsia="Times New Roman"/>
          <w:color w:val="0E101A"/>
          <w:szCs w:val="24"/>
          <w:lang w:eastAsia="en-GB"/>
        </w:rPr>
        <w:fldChar w:fldCharType="begin" w:fldLock="1"/>
      </w:r>
      <w:r w:rsidR="008B7FB2">
        <w:rPr>
          <w:rFonts w:eastAsia="Times New Roman"/>
          <w:color w:val="0E101A"/>
          <w:szCs w:val="24"/>
          <w:lang w:eastAsia="en-GB"/>
        </w:rPr>
        <w:instrText>ADDIN CSL_CITATION {"citationItems":[{"id":"ITEM-1","itemData":{"DOI":"10.3390/genes6010087","abstract":"Type 2 diabetes (T2D) is a complex disease that is caused by a complex interplay between genetic, epigenetic and environmental factors. While the major environmental factors, diet and activity level, are well known, identification of the genetic factors has been a challenge. However, recent years have seen an explosion of genetic variants in risk and protection of T2D due to the technical development that has allowed genome-wide association studies and next-generation sequencing. Today, more than 120 variants have been convincingly replicated for association with T2D and many more with diabetes-related traits. Still, these variants only explain a small proportion of the total heritability of T2D. In this review, we address the possibilities to elucidate the genetic landscape of T2D as well as discuss pitfalls with current strategies to identify the elusive unknown heritability including the possibility that our definition of diabetes and its subgroups is imprecise and thereby makes the identification of genetic causes difficult.","author":[{"dropping-particle":"","family":"Prasad","given":"Rashmi B","non-dropping-particle":"","parse-names":false,"suffix":""},{"dropping-particle":"","family":"Groop","given":"Leif","non-dropping-particle":"","parse-names":false,"suffix":""}],"container-title":"Genes","id":"ITEM-1","issue":"1","issued":{"date-parts":[["2015"]]},"page":"87-123","title":"Genetics of Type 2 Diabetes—Pitfalls and Possibilities","type":"article-journal","volume":"6"},"uris":["http://www.mendeley.com/documents/?uuid=79ce2eb1-07f6-4a48-9c88-cea8f936bba2"]},{"id":"ITEM-2","itemData":{"DOI":"10.1017/jns.2020.7","ISSN":"20486790","abstract":"Copyright © The Author(s) 2020. A low intake of fruit and vegetables is a significant contributor to the global burden of disease. The aim of this study was to estimate the size of the risk of type 2 diabetes (T2D) of a low intake and to investigate possible sex differences. In this regard, this study used a longitudinal data from the Stockholm Public Health Cohort located in Sweden, collected in 2010 and 2014. The analysis included 14 718 men and 20 589 women aged 25 to 84 years. Fruit and vegetable intake, separately &lt;2 servings/d or combined &lt;4 servings/d (one serving corresponding to 100 g) was set as a cut-point for low intake. The sex difference at baseline was examined. Sex-stratified logistic regression was performed with onset of T2D as the outcome and fruit and vegetable intake at baseline as the exposure with adjustment for other known risk factors. Results indicate that men consumed significantly (P &lt; 0.001) less fruit and vegetables compared with women. A 62 % higher risk to develop T2D over the 4-year period was observed in men who had low vegetable intake compared with high intake after adjusting for age, education, BMI, smoking, alcohol and physical activity (OR 1.62; 95 % CI 1.00, 2.63). In women, a significantly higher risk of T2D was also observed with a low intake of vegetables, but not after adjustment. The present study suggests that higher consumption of vegetables seems to be protective for the onset of T2D in men. Thus, increasing the intake of vegetables in men should be a public health priority.","author":[{"dropping-particle":"","family":"Ahmed","given":"A.","non-dropping-particle":"","parse-names":false,"suffix":""},{"dropping-particle":"","family":"Lager","given":"A.","non-dropping-particle":"","parse-names":false,"suffix":""},{"dropping-particle":"","family":"Fredlund","given":"P.","non-dropping-particle":"","parse-names":false,"suffix":""},{"dropping-particle":"","family":"Elinder","given":"L.S.","non-dropping-particle":"","parse-names":false,"suffix":""}],"container-title":"Journal of Nutritional Science","id":"ITEM-2","issued":{"date-parts":[["2020"]]},"title":"Consumption of fruit and vegetables and the risk of type 2 diabetes: A 4-year longitudinal study among Swedish adults","type":"article-journal"},"uris":["http://www.mendeley.com/documents/?uuid=2c354ca1-9e03-31b8-b6bf-3af0187743f9"]},{"id":"ITEM-3","itemData":{"URL":"https://www.who.int/health-topics/diabetes#tab=tab_1","author":[{"dropping-particle":"","family":"World Health Organization","given":"","non-dropping-particle":"","parse-names":false,"suffix":""}],"id":"ITEM-3","issued":{"date-parts":[["2021"]]},"title":"World Health Organisation, Diabetes","type":"webpage"},"uris":["http://www.mendeley.com/documents/?uuid=5bf3cf46-1c60-4712-a165-d5237dac04c5"]}],"mendeley":{"formattedCitation":"(Prasad and Groop, 2015; Ahmed &lt;i&gt;et al.&lt;/i&gt;, 2020; World Health Organization, 2021)","plainTextFormattedCitation":"(Prasad and Groop, 2015; Ahmed et al., 2020; World Health Organization, 2021)","previouslyFormattedCitation":"(Prasad and Groop, 2015; Ahmed &lt;i&gt;et al.&lt;/i&gt;, 2020; World Health Organization, 2021)"},"properties":{"noteIndex":0},"schema":"https://github.com/citation-style-language/schema/raw/master/csl-citation.json"}</w:instrText>
      </w:r>
      <w:r w:rsidR="008B7FB2">
        <w:rPr>
          <w:rFonts w:eastAsia="Times New Roman"/>
          <w:color w:val="0E101A"/>
          <w:szCs w:val="24"/>
          <w:lang w:eastAsia="en-GB"/>
        </w:rPr>
        <w:fldChar w:fldCharType="separate"/>
      </w:r>
      <w:r w:rsidR="008B7FB2" w:rsidRPr="008B7FB2">
        <w:rPr>
          <w:rFonts w:eastAsia="Times New Roman"/>
          <w:noProof/>
          <w:color w:val="0E101A"/>
          <w:szCs w:val="24"/>
          <w:lang w:eastAsia="en-GB"/>
        </w:rPr>
        <w:t xml:space="preserve">(Prasad and Groop, 2015; Ahmed </w:t>
      </w:r>
      <w:r w:rsidR="008B7FB2" w:rsidRPr="008B7FB2">
        <w:rPr>
          <w:rFonts w:eastAsia="Times New Roman"/>
          <w:i/>
          <w:noProof/>
          <w:color w:val="0E101A"/>
          <w:szCs w:val="24"/>
          <w:lang w:eastAsia="en-GB"/>
        </w:rPr>
        <w:t>et al.</w:t>
      </w:r>
      <w:r w:rsidR="008B7FB2" w:rsidRPr="008B7FB2">
        <w:rPr>
          <w:rFonts w:eastAsia="Times New Roman"/>
          <w:noProof/>
          <w:color w:val="0E101A"/>
          <w:szCs w:val="24"/>
          <w:lang w:eastAsia="en-GB"/>
        </w:rPr>
        <w:t>, 2020; World Health Organization, 2021)</w:t>
      </w:r>
      <w:r w:rsidR="008B7FB2">
        <w:rPr>
          <w:rFonts w:eastAsia="Times New Roman"/>
          <w:color w:val="0E101A"/>
          <w:szCs w:val="24"/>
          <w:lang w:eastAsia="en-GB"/>
        </w:rPr>
        <w:fldChar w:fldCharType="end"/>
      </w:r>
      <w:r w:rsidRPr="00CF0DD8">
        <w:rPr>
          <w:rFonts w:eastAsia="Times New Roman"/>
          <w:color w:val="0E101A"/>
          <w:szCs w:val="24"/>
          <w:lang w:eastAsia="en-GB"/>
        </w:rPr>
        <w:t>. Environmental</w:t>
      </w:r>
      <w:r w:rsidR="00720A92">
        <w:rPr>
          <w:rFonts w:eastAsia="Times New Roman"/>
          <w:color w:val="0E101A"/>
          <w:szCs w:val="24"/>
          <w:lang w:eastAsia="en-GB"/>
        </w:rPr>
        <w:t xml:space="preserve"> </w:t>
      </w:r>
      <w:r w:rsidR="00720A92" w:rsidRPr="00CF0DD8">
        <w:rPr>
          <w:rFonts w:eastAsia="Times New Roman"/>
          <w:color w:val="0E101A"/>
          <w:szCs w:val="24"/>
          <w:lang w:eastAsia="en-GB"/>
        </w:rPr>
        <w:t>means modifiable</w:t>
      </w:r>
      <w:r w:rsidRPr="00CF0DD8">
        <w:rPr>
          <w:rFonts w:eastAsia="Times New Roman"/>
          <w:color w:val="0E101A"/>
          <w:szCs w:val="24"/>
          <w:lang w:eastAsia="en-GB"/>
        </w:rPr>
        <w:t xml:space="preserve"> factors include dietary behaviour and physical activity</w:t>
      </w:r>
      <w:r w:rsidR="008B7FB2">
        <w:rPr>
          <w:rFonts w:eastAsia="Times New Roman"/>
          <w:color w:val="0E101A"/>
          <w:szCs w:val="24"/>
          <w:lang w:eastAsia="en-GB"/>
        </w:rPr>
        <w:t xml:space="preserve"> </w:t>
      </w:r>
      <w:r w:rsidR="008B7FB2">
        <w:rPr>
          <w:rFonts w:eastAsia="Times New Roman"/>
          <w:color w:val="0E101A"/>
          <w:szCs w:val="24"/>
          <w:lang w:eastAsia="en-GB"/>
        </w:rPr>
        <w:fldChar w:fldCharType="begin" w:fldLock="1"/>
      </w:r>
      <w:r w:rsidR="008B7FB2">
        <w:rPr>
          <w:rFonts w:eastAsia="Times New Roman"/>
          <w:color w:val="0E101A"/>
          <w:szCs w:val="24"/>
          <w:lang w:eastAsia="en-GB"/>
        </w:rPr>
        <w:instrText>ADDIN CSL_CITATION {"citationItems":[{"id":"ITEM-1","itemData":{"DOI":"10.3390/genes6010087","abstract":"Type 2 diabetes (T2D) is a complex disease that is caused by a complex interplay between genetic, epigenetic and environmental factors. While the major environmental factors, diet and activity level, are well known, identification of the genetic factors has been a challenge. However, recent years have seen an explosion of genetic variants in risk and protection of T2D due to the technical development that has allowed genome-wide association studies and next-generation sequencing. Today, more than 120 variants have been convincingly replicated for association with T2D and many more with diabetes-related traits. Still, these variants only explain a small proportion of the total heritability of T2D. In this review, we address the possibilities to elucidate the genetic landscape of T2D as well as discuss pitfalls with current strategies to identify the elusive unknown heritability including the possibility that our definition of diabetes and its subgroups is imprecise and thereby makes the identification of genetic causes difficult.","author":[{"dropping-particle":"","family":"Prasad","given":"Rashmi B","non-dropping-particle":"","parse-names":false,"suffix":""},{"dropping-particle":"","family":"Groop","given":"Leif","non-dropping-particle":"","parse-names":false,"suffix":""}],"container-title":"Genes","id":"ITEM-1","issue":"1","issued":{"date-parts":[["2015"]]},"page":"87-123","title":"Genetics of Type 2 Diabetes—Pitfalls and Possibilities","type":"article-journal","volume":"6"},"uris":["http://www.mendeley.com/documents/?uuid=79ce2eb1-07f6-4a48-9c88-cea8f936bba2"]}],"mendeley":{"formattedCitation":"(Prasad and Groop, 2015)","plainTextFormattedCitation":"(Prasad and Groop, 2015)","previouslyFormattedCitation":"(Prasad and Groop, 2015)"},"properties":{"noteIndex":0},"schema":"https://github.com/citation-style-language/schema/raw/master/csl-citation.json"}</w:instrText>
      </w:r>
      <w:r w:rsidR="008B7FB2">
        <w:rPr>
          <w:rFonts w:eastAsia="Times New Roman"/>
          <w:color w:val="0E101A"/>
          <w:szCs w:val="24"/>
          <w:lang w:eastAsia="en-GB"/>
        </w:rPr>
        <w:fldChar w:fldCharType="separate"/>
      </w:r>
      <w:r w:rsidR="008B7FB2" w:rsidRPr="008B7FB2">
        <w:rPr>
          <w:rFonts w:eastAsia="Times New Roman"/>
          <w:noProof/>
          <w:color w:val="0E101A"/>
          <w:szCs w:val="24"/>
          <w:lang w:eastAsia="en-GB"/>
        </w:rPr>
        <w:t>(Prasad and Groop, 2015)</w:t>
      </w:r>
      <w:r w:rsidR="008B7FB2">
        <w:rPr>
          <w:rFonts w:eastAsia="Times New Roman"/>
          <w:color w:val="0E101A"/>
          <w:szCs w:val="24"/>
          <w:lang w:eastAsia="en-GB"/>
        </w:rPr>
        <w:fldChar w:fldCharType="end"/>
      </w:r>
      <w:r w:rsidRPr="00CF0DD8">
        <w:rPr>
          <w:rFonts w:eastAsia="Times New Roman"/>
          <w:color w:val="0E101A"/>
          <w:szCs w:val="24"/>
          <w:lang w:eastAsia="en-GB"/>
        </w:rPr>
        <w:t xml:space="preserve">. Ethnic minorities such as South Asians genetically carry fewer β-cells, and over the life-course failure of those cells leads to diabetes </w:t>
      </w:r>
      <w:r w:rsidR="008B7FB2">
        <w:rPr>
          <w:rFonts w:eastAsia="Times New Roman"/>
          <w:color w:val="0E101A"/>
          <w:szCs w:val="24"/>
          <w:lang w:eastAsia="en-GB"/>
        </w:rPr>
        <w:fldChar w:fldCharType="begin" w:fldLock="1"/>
      </w:r>
      <w:r w:rsidR="008B7FB2">
        <w:rPr>
          <w:rFonts w:eastAsia="Times New Roman"/>
          <w:color w:val="0E101A"/>
          <w:szCs w:val="24"/>
          <w:lang w:eastAsia="en-GB"/>
        </w:rPr>
        <w:instrText>ADDIN CSL_CITATION {"citationItems":[{"id":"ITEM-1","itemData":{"DOI":"10.1111/dme.12016","ISSN":"07423071","PMID":"22998210","abstract":"With approximately 1.5 billion people at risk, the staggeringly high risk of Type 2 diabetes in South Asians comprises a global problem. The causes of this high risk are complex, with 23 major risk factors identified in a Lancet seminar. This paper proposes a four-stage explanatory model: (1) the birth of a small, adipose, lowlean mass South Asian baby-the phenotype tracking through life; (2) in childhood and early adulthood, the deposition of any excess energy intake preferentially in upper body and ectopic fat stores rather than in the lower body or superficial subcutaneous fat stores; (3) as a consequence of points 1 and 2, and exacerbated by an environment of low physical activity and excess calories, the accelerated appearance of high levels of plasma insulin, triglycerides and glucose, and the fatty-liver vicious cycle; (4) β-cell failure as a result of fewer β-cells at birth, exposure to apoptotic triggers such as fat in the pancreas, and high demand from insulin resistance, which causes diabetes. Other risk factors-especially energy-dense hyperglycaemic diet and low physical activity-play into this pathway. The recommended behavioural changes fit with this model, which brings clarity to guide future research, policy, practice and health promotion. © 2012 Diabetes UK.","author":[{"dropping-particle":"","family":"Bhopal","given":"R. S.","non-dropping-particle":"","parse-names":false,"suffix":""}],"container-title":"Diabetic Medicine","id":"ITEM-1","issue":"1","issued":{"date-parts":[["2013"]]},"page":"35-42","title":"A four-stage model explaining the higher risk of Type 2 diabetes mellitus in South Asians compared with European populations","type":"article-journal","volume":"30"},"uris":["http://www.mendeley.com/documents/?uuid=6c3b9ab3-94bf-4219-8b14-5c7600cb3c5a"]}],"mendeley":{"formattedCitation":"(Bhopal, 2013)","plainTextFormattedCitation":"(Bhopal, 2013)","previouslyFormattedCitation":"(Bhopal, 2013)"},"properties":{"noteIndex":0},"schema":"https://github.com/citation-style-language/schema/raw/master/csl-citation.json"}</w:instrText>
      </w:r>
      <w:r w:rsidR="008B7FB2">
        <w:rPr>
          <w:rFonts w:eastAsia="Times New Roman"/>
          <w:color w:val="0E101A"/>
          <w:szCs w:val="24"/>
          <w:lang w:eastAsia="en-GB"/>
        </w:rPr>
        <w:fldChar w:fldCharType="separate"/>
      </w:r>
      <w:r w:rsidR="008B7FB2" w:rsidRPr="008B7FB2">
        <w:rPr>
          <w:rFonts w:eastAsia="Times New Roman"/>
          <w:noProof/>
          <w:color w:val="0E101A"/>
          <w:szCs w:val="24"/>
          <w:lang w:eastAsia="en-GB"/>
        </w:rPr>
        <w:t>(Bhopal, 2013)</w:t>
      </w:r>
      <w:r w:rsidR="008B7FB2">
        <w:rPr>
          <w:rFonts w:eastAsia="Times New Roman"/>
          <w:color w:val="0E101A"/>
          <w:szCs w:val="24"/>
          <w:lang w:eastAsia="en-GB"/>
        </w:rPr>
        <w:fldChar w:fldCharType="end"/>
      </w:r>
      <w:r w:rsidRPr="00CF0DD8">
        <w:rPr>
          <w:rFonts w:eastAsia="Times New Roman"/>
          <w:color w:val="0E101A"/>
          <w:szCs w:val="24"/>
          <w:lang w:eastAsia="en-GB"/>
        </w:rPr>
        <w:t>. Thus, to reduce CVD risk and improve health in adults, prevention of T2D demands priority by enhancing a healthy diet and lifestyle globally</w:t>
      </w:r>
      <w:r w:rsidR="008B7FB2">
        <w:rPr>
          <w:rFonts w:eastAsia="Times New Roman"/>
          <w:color w:val="0E101A"/>
          <w:szCs w:val="24"/>
          <w:lang w:eastAsia="en-GB"/>
        </w:rPr>
        <w:t xml:space="preserve"> </w:t>
      </w:r>
      <w:r w:rsidR="007549E9">
        <w:rPr>
          <w:rFonts w:eastAsia="Times New Roman"/>
          <w:color w:val="0E101A"/>
          <w:szCs w:val="24"/>
          <w:lang w:eastAsia="en-GB"/>
        </w:rPr>
        <w:fldChar w:fldCharType="begin" w:fldLock="1"/>
      </w:r>
      <w:r w:rsidR="007549E9">
        <w:rPr>
          <w:rFonts w:eastAsia="Times New Roman"/>
          <w:color w:val="0E101A"/>
          <w:szCs w:val="24"/>
          <w:lang w:eastAsia="en-GB"/>
        </w:rPr>
        <w:instrText>ADDIN CSL_CITATION {"citationItems":[{"id":"ITEM-1","itemData":{"DOI":"10.2337/dc11-0442","ISSN":"01495992","PMID":"21617109","abstract":"Type 2 diabetes is a global public health crisis that threatens the economies of all nations, particularly developing countries. Fueled by rapid urbanization, nutrition transition, and increasingly sedentary lifestyles, the epidemic has grown in parallel with the worldwide rise in obesity. Asia's large population and rapid economic development have made it an epicenter of the epidemic. Asian populations tend to develop diabetes at younger ages and lower BMI levels than Caucasians. Several factors contribute to accelerated diabetes epidemic in Asians, including the \"normal-weight metabolically obese\" phenotype; high prevalence of smoking and heavy alcohol use; high intake of refined carbohydrates (e.g., white rice); and dramatically decreased physical activity levels. Poor nutrition in utero and in early life combined with overnutrition in later life may also play a role in Asia's diabetes epidemic. Recent advances in genome-wide association studies have contributed substantially to our understanding of diabetes pathophysiology, but currently identified genetic loci are insufficient to explain ethnic differences in diabetes risk. Nonetheless, interactions between Westernized diet and lifestyle and genetic background may accelerate the growth of diabetes in the context of rapid nutrition transition. Epidemiologic studies and randomized clinical trials show that type 2 diabetes is largely preventable through diet and lifestyle modifications. Translating these findings into practice, however, requires fundamental changes in public policies, the food and built environments, and health systems. To curb the escalating diabetes epidemic, primary prevention through promotion of a healthy diet and lifestyle should be a global public policy priority. © 2011 by the American Diabetes Association.","author":[{"dropping-particle":"","family":"Hu","given":"Frank B.","non-dropping-particle":"","parse-names":false,"suffix":""}],"container-title":"Diabetes Care","id":"ITEM-1","issue":"6","issued":{"date-parts":[["2011"]]},"page":"1249-1257","title":"Globalization of diabetes: The role of diet, lifestyle, and genes","type":"article-journal","volume":"34"},"uris":["http://www.mendeley.com/documents/?uuid=69ada525-c933-4475-8817-1767491c16a2"]}],"mendeley":{"formattedCitation":"(Hu, 2011)","plainTextFormattedCitation":"(Hu, 2011)","previouslyFormattedCitation":"(Hu, 2011)"},"properties":{"noteIndex":0},"schema":"https://github.com/citation-style-language/schema/raw/master/csl-citation.json"}</w:instrText>
      </w:r>
      <w:r w:rsidR="007549E9">
        <w:rPr>
          <w:rFonts w:eastAsia="Times New Roman"/>
          <w:color w:val="0E101A"/>
          <w:szCs w:val="24"/>
          <w:lang w:eastAsia="en-GB"/>
        </w:rPr>
        <w:fldChar w:fldCharType="separate"/>
      </w:r>
      <w:r w:rsidR="007549E9" w:rsidRPr="007549E9">
        <w:rPr>
          <w:rFonts w:eastAsia="Times New Roman"/>
          <w:noProof/>
          <w:color w:val="0E101A"/>
          <w:szCs w:val="24"/>
          <w:lang w:eastAsia="en-GB"/>
        </w:rPr>
        <w:t>(Hu, 2011)</w:t>
      </w:r>
      <w:r w:rsidR="007549E9">
        <w:rPr>
          <w:rFonts w:eastAsia="Times New Roman"/>
          <w:color w:val="0E101A"/>
          <w:szCs w:val="24"/>
          <w:lang w:eastAsia="en-GB"/>
        </w:rPr>
        <w:fldChar w:fldCharType="end"/>
      </w:r>
      <w:r w:rsidRPr="00CF0DD8">
        <w:rPr>
          <w:rFonts w:eastAsia="Times New Roman"/>
          <w:color w:val="0E101A"/>
          <w:szCs w:val="24"/>
          <w:lang w:eastAsia="en-GB"/>
        </w:rPr>
        <w:t>. It is because more than half of the T2D cases are possible to prevent or delay by maintaining a healthy lifestyle and dietary habits</w:t>
      </w:r>
      <w:r w:rsidR="007549E9">
        <w:rPr>
          <w:rFonts w:eastAsia="Times New Roman"/>
          <w:color w:val="0E101A"/>
          <w:szCs w:val="24"/>
          <w:lang w:eastAsia="en-GB"/>
        </w:rPr>
        <w:t xml:space="preserve"> </w:t>
      </w:r>
      <w:r w:rsidR="007549E9">
        <w:rPr>
          <w:rFonts w:eastAsia="Times New Roman"/>
          <w:color w:val="0E101A"/>
          <w:szCs w:val="24"/>
          <w:lang w:eastAsia="en-GB"/>
        </w:rPr>
        <w:fldChar w:fldCharType="begin" w:fldLock="1"/>
      </w:r>
      <w:r w:rsidR="00642771">
        <w:rPr>
          <w:rFonts w:eastAsia="Times New Roman"/>
          <w:color w:val="0E101A"/>
          <w:szCs w:val="24"/>
          <w:lang w:eastAsia="en-GB"/>
        </w:rPr>
        <w:instrText>ADDIN CSL_CITATION {"citationItems":[{"id":"ITEM-1","itemData":{"URL":"https://www.diabetes.org.uk/about_us/news/new-stats-people-living-with-diabetes","author":[{"dropping-particle":"","family":"Diabetes UK","given":"","non-dropping-particle":"","parse-names":false,"suffix":""}],"container-title":"Diabetes UK","id":"ITEM-1","issued":{"date-parts":[["2019"]]},"page":"1-48","title":"Diabetes UK Facts and Figures 2019","type":"webpage"},"uris":["http://www.mendeley.com/documents/?uuid=8ee8e256-cf3f-4522-99d9-ceab1ce9712f"]}],"mendeley":{"formattedCitation":"(Diabetes UK, 2019)","plainTextFormattedCitation":"(Diabetes UK, 2019)","previouslyFormattedCitation":"(Diabetes UK, 2019)"},"properties":{"noteIndex":0},"schema":"https://github.com/citation-style-language/schema/raw/master/csl-citation.json"}</w:instrText>
      </w:r>
      <w:r w:rsidR="007549E9">
        <w:rPr>
          <w:rFonts w:eastAsia="Times New Roman"/>
          <w:color w:val="0E101A"/>
          <w:szCs w:val="24"/>
          <w:lang w:eastAsia="en-GB"/>
        </w:rPr>
        <w:fldChar w:fldCharType="separate"/>
      </w:r>
      <w:r w:rsidR="007549E9" w:rsidRPr="007549E9">
        <w:rPr>
          <w:rFonts w:eastAsia="Times New Roman"/>
          <w:noProof/>
          <w:color w:val="0E101A"/>
          <w:szCs w:val="24"/>
          <w:lang w:eastAsia="en-GB"/>
        </w:rPr>
        <w:t>(Diabetes UK, 2019)</w:t>
      </w:r>
      <w:r w:rsidR="007549E9">
        <w:rPr>
          <w:rFonts w:eastAsia="Times New Roman"/>
          <w:color w:val="0E101A"/>
          <w:szCs w:val="24"/>
          <w:lang w:eastAsia="en-GB"/>
        </w:rPr>
        <w:fldChar w:fldCharType="end"/>
      </w:r>
      <w:r w:rsidRPr="00CF0DD8">
        <w:rPr>
          <w:rFonts w:eastAsia="Times New Roman"/>
          <w:color w:val="0E101A"/>
          <w:szCs w:val="24"/>
          <w:lang w:eastAsia="en-GB"/>
        </w:rPr>
        <w:t>. </w:t>
      </w:r>
    </w:p>
    <w:p w14:paraId="45BFC4A6" w14:textId="7777777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p>
    <w:p w14:paraId="68E7FD94" w14:textId="62F3CD39"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 xml:space="preserve">In general, unhealthy dietary habits triggered the global burden of disease </w:t>
      </w:r>
      <w:r w:rsidR="00642771">
        <w:rPr>
          <w:rFonts w:eastAsia="Times New Roman"/>
          <w:color w:val="0E101A"/>
          <w:szCs w:val="24"/>
          <w:lang w:eastAsia="en-GB"/>
        </w:rPr>
        <w:fldChar w:fldCharType="begin" w:fldLock="1"/>
      </w:r>
      <w:r w:rsidR="00352527">
        <w:rPr>
          <w:rFonts w:eastAsia="Times New Roman"/>
          <w:color w:val="0E101A"/>
          <w:szCs w:val="24"/>
          <w:lang w:eastAsia="en-GB"/>
        </w:rPr>
        <w:instrText>ADDIN CSL_CITATION {"citationItems":[{"id":"ITEM-1","itemData":{"DOI":"10.1016/S0140-6736(17)32366-8","ISSN":"1474547X","PMID":"28919119","abstract":"Background: The Global Burden of Diseases, Injuries, and Risk Factors Study 2016 (GBD 2016) provides a comprehensive assessment of risk factor exposure and attributable burden of disease. By providing estimates over a long time series, this study can monitor risk exposure trends critical to health surveillance and inform policy debates on the importance of addressing risks in context. Methods: We used the comparative risk assessment framework developed for previous iterations of GBD to estimate levels and trends in exposure, attributable deaths, and attributable disability-adjusted life-years (DALYs), by age group, sex, year, and location for 84 behavioural, environmental and occupational, and metabolic risks or clusters of risks from 1990 to 2016. This study included 481 risk-outcome pairs that met the GBD study criteria for convincing or probable evidence of causation. We extracted relative risk (RR) and exposure estimates from 22 717 randomised controlled trials, cohorts, pooled cohorts, household surveys, census data, satellite data, and other sources, according to the GBD 2016 source counting methods. Using the counterfactual scenario of theoretical minimum risk exposure level (TMREL), we estimated the portion of deaths and DALYs that could be attributed to a given risk. Finally, we explored four drivers of trends in attributable burden: population growth, population ageing, trends in risk exposure, and all other factors combined. Findings: Since 1990, exposure increased significantly for 30 risks, did not change significantly for four risks, and decreased significantly for 31 risks. Among risks that are leading causes of burden of disease, child growth failure and household air pollution showed the most significant declines, while metabolic risks, such as body-mass index and high fasting plasma glucose, showed significant increases. In 2016, at Level 3 of the hierarchy, the three leading risk factors in terms of attributable DALYs at the global level for men were smoking (124.1 million DALYs [95% UI 111.2 million to 137.0 million]), high systolic blood pressure (122.2 million DALYs [110.3 million to 133.3 million], and low birthweight and short gestation (83.0 million DALYs [78.3 million to 87.7 million]), and for women, were high systolic blood pressure (89.9 million DALYs [80.9 million to 98.2 million]), high body-mass index (64.8 million DALYs [44.4 million to 87.6 million]), and high fasting plasma glucose (63.8 million DALYs [53.2 million to …","author":[{"dropping-particle":"","family":"GBD 2016 Risk Factors Collaborators","given":"","non-dropping-particle":"","parse-names":false,"suffix":""}],"container-title":"The Lancet","id":"ITEM-1","issue":"10100","issued":{"date-parts":[["2017"]]},"page":"1345-1422","title":"Global, regional, and national comparative risk assessment of 84 behavioural, environmental and occupational, and metabolic risks or clusters of risks, 1990-2016: A systematic analysis for the Global Burden of Disease Study 2016","type":"article-journal","volume":"390"},"uris":["http://www.mendeley.com/documents/?uuid=001a43d1-42b7-4eb4-b240-085e0a5bf340"]}],"mendeley":{"formattedCitation":"(GBD 2016 Risk Factors Collaborators, 2017)","plainTextFormattedCitation":"(GBD 2016 Risk Factors Collaborators, 2017)","previouslyFormattedCitation":"(GBD 2016 Risk Factors Collaborators, 2017)"},"properties":{"noteIndex":0},"schema":"https://github.com/citation-style-language/schema/raw/master/csl-citation.json"}</w:instrText>
      </w:r>
      <w:r w:rsidR="00642771">
        <w:rPr>
          <w:rFonts w:eastAsia="Times New Roman"/>
          <w:color w:val="0E101A"/>
          <w:szCs w:val="24"/>
          <w:lang w:eastAsia="en-GB"/>
        </w:rPr>
        <w:fldChar w:fldCharType="separate"/>
      </w:r>
      <w:r w:rsidR="00642771" w:rsidRPr="00642771">
        <w:rPr>
          <w:rFonts w:eastAsia="Times New Roman"/>
          <w:noProof/>
          <w:color w:val="0E101A"/>
          <w:szCs w:val="24"/>
          <w:lang w:eastAsia="en-GB"/>
        </w:rPr>
        <w:t>(GBD 2016 Risk Factors Collaborators, 2017)</w:t>
      </w:r>
      <w:r w:rsidR="00642771">
        <w:rPr>
          <w:rFonts w:eastAsia="Times New Roman"/>
          <w:color w:val="0E101A"/>
          <w:szCs w:val="24"/>
          <w:lang w:eastAsia="en-GB"/>
        </w:rPr>
        <w:fldChar w:fldCharType="end"/>
      </w:r>
      <w:r w:rsidR="00642771">
        <w:rPr>
          <w:rFonts w:eastAsia="Times New Roman"/>
          <w:color w:val="0E101A"/>
          <w:szCs w:val="24"/>
          <w:lang w:eastAsia="en-GB"/>
        </w:rPr>
        <w:t xml:space="preserve">, </w:t>
      </w:r>
      <w:r w:rsidRPr="00CF0DD8">
        <w:rPr>
          <w:rFonts w:eastAsia="Times New Roman"/>
          <w:color w:val="0E101A"/>
          <w:szCs w:val="24"/>
          <w:lang w:eastAsia="en-GB"/>
        </w:rPr>
        <w:t xml:space="preserve">causing diabetes, cardiovascular disease ("CVD"), and certain </w:t>
      </w:r>
      <w:r w:rsidRPr="00CF0DD8">
        <w:rPr>
          <w:rFonts w:eastAsia="Times New Roman"/>
          <w:color w:val="0E101A"/>
          <w:szCs w:val="24"/>
          <w:lang w:eastAsia="en-GB"/>
        </w:rPr>
        <w:lastRenderedPageBreak/>
        <w:t>cancers. Dietary habits are dynamic and are influenced by individual choice, health benefits, and culture, where the people grow and live for a long time</w:t>
      </w:r>
      <w:r w:rsidR="00352527">
        <w:rPr>
          <w:rFonts w:eastAsia="Times New Roman"/>
          <w:color w:val="0E101A"/>
          <w:szCs w:val="24"/>
          <w:lang w:eastAsia="en-GB"/>
        </w:rPr>
        <w:t xml:space="preserve"> </w:t>
      </w:r>
      <w:r w:rsidR="00352527">
        <w:rPr>
          <w:rFonts w:eastAsia="Times New Roman"/>
          <w:color w:val="0E101A"/>
          <w:szCs w:val="24"/>
          <w:lang w:eastAsia="en-GB"/>
        </w:rPr>
        <w:fldChar w:fldCharType="begin" w:fldLock="1"/>
      </w:r>
      <w:r w:rsidR="00352527">
        <w:rPr>
          <w:rFonts w:eastAsia="Times New Roman"/>
          <w:color w:val="0E101A"/>
          <w:szCs w:val="24"/>
          <w:lang w:eastAsia="en-GB"/>
        </w:rPr>
        <w:instrText>ADDIN CSL_CITATION {"citationItems":[{"id":"ITEM-1","itemData":{"DOI":"10.1016/j.jep.2007.05.009","ISSN":"03788741","PMID":"17583457","abstract":"Dietary habits change rapidly amongst migrant communities in Western countries, and these changes can cause major concerns for public-health policymakers because they frequently lead to increases in diet-related diseases like diabetes. Such is the case in most South-Asian communities in the UK. In this study, we carried out an ethnobiological survey of the vegetables traditionally consumed among the Indian and Pakistani communities of Bradford, in Western Yorkshire, UK. Our purpose was to analyse in depth details of the traditional culinary use of vegetables within these households, and to assess the health perceptions of them. Semi-structured interviews with a total of 150 South-Asian women were carried out. Twenty-five vegetables were recorded, as well as their traditional culinary use and their frequency of use. We found that a few of these vegetables, particularly those presenting bitter or aromatic tastes, were perceived to have remarkable medicinal value particularly against diabetes. Our study also found important generational differences in the women's knowledge of the culinary processes related to these foods, confirming that the consumption of traditional vegetables is inextricably embedded in cultural heritage and the representation of identity among migrants. Our findings may offer evidence of a link between the choice of food and the foods' perceived medicinal value among South-Asian migrants. It may also provide important information for health care professionals when designing strategies for improving health care counteracting type 2 diabetes. We strongly believe such strategies should take into account socio-cultural components and emic health beliefs, as well as patients' views of traditional dietary ingredients. © 2007 Elsevier Ireland Ltd. All rights reserved.","author":[{"dropping-particle":"","family":"Pieroni","given":"Andrea","non-dropping-particle":"","parse-names":false,"suffix":""},{"dropping-particle":"","family":"Houlihan","given":"Laura","non-dropping-particle":"","parse-names":false,"suffix":""},{"dropping-particle":"","family":"Ansari","given":"Nafeesa","non-dropping-particle":"","parse-names":false,"suffix":""},{"dropping-particle":"","family":"Hussain","given":"Bushra","non-dropping-particle":"","parse-names":false,"suffix":""},{"dropping-particle":"","family":"Aslam","given":"Saiqa","non-dropping-particle":"","parse-names":false,"suffix":""}],"container-title":"Journal of Ethnopharmacology","id":"ITEM-1","issue":"1","issued":{"date-parts":[["2007"]]},"page":"100-110","title":"Medicinal perceptions of vegetables traditionally consumed by South-Asian migrants living in Bradford, Northern England","type":"article-journal","volume":"113"},"uris":["http://www.mendeley.com/documents/?uuid=82043bf9-eb4f-44e3-b6a7-c15e1726b4cc"]}],"mendeley":{"formattedCitation":"(Pieroni &lt;i&gt;et al.&lt;/i&gt;, 2007)","plainTextFormattedCitation":"(Pieroni et al., 2007)","previouslyFormattedCitation":"(Pieroni &lt;i&gt;et al.&lt;/i&gt;, 2007)"},"properties":{"noteIndex":0},"schema":"https://github.com/citation-style-language/schema/raw/master/csl-citation.json"}</w:instrText>
      </w:r>
      <w:r w:rsidR="00352527">
        <w:rPr>
          <w:rFonts w:eastAsia="Times New Roman"/>
          <w:color w:val="0E101A"/>
          <w:szCs w:val="24"/>
          <w:lang w:eastAsia="en-GB"/>
        </w:rPr>
        <w:fldChar w:fldCharType="separate"/>
      </w:r>
      <w:r w:rsidR="00352527" w:rsidRPr="00352527">
        <w:rPr>
          <w:rFonts w:eastAsia="Times New Roman"/>
          <w:noProof/>
          <w:color w:val="0E101A"/>
          <w:szCs w:val="24"/>
          <w:lang w:eastAsia="en-GB"/>
        </w:rPr>
        <w:t xml:space="preserve">(Pieroni </w:t>
      </w:r>
      <w:r w:rsidR="00352527" w:rsidRPr="00352527">
        <w:rPr>
          <w:rFonts w:eastAsia="Times New Roman"/>
          <w:i/>
          <w:noProof/>
          <w:color w:val="0E101A"/>
          <w:szCs w:val="24"/>
          <w:lang w:eastAsia="en-GB"/>
        </w:rPr>
        <w:t>et al.</w:t>
      </w:r>
      <w:r w:rsidR="00352527" w:rsidRPr="00352527">
        <w:rPr>
          <w:rFonts w:eastAsia="Times New Roman"/>
          <w:noProof/>
          <w:color w:val="0E101A"/>
          <w:szCs w:val="24"/>
          <w:lang w:eastAsia="en-GB"/>
        </w:rPr>
        <w:t>, 2007)</w:t>
      </w:r>
      <w:r w:rsidR="00352527">
        <w:rPr>
          <w:rFonts w:eastAsia="Times New Roman"/>
          <w:color w:val="0E101A"/>
          <w:szCs w:val="24"/>
          <w:lang w:eastAsia="en-GB"/>
        </w:rPr>
        <w:fldChar w:fldCharType="end"/>
      </w:r>
      <w:r w:rsidRPr="00CF0DD8">
        <w:rPr>
          <w:rFonts w:eastAsia="Times New Roman"/>
          <w:color w:val="0E101A"/>
          <w:szCs w:val="24"/>
          <w:lang w:eastAsia="en-GB"/>
        </w:rPr>
        <w:t>. Thus, the choice of fruits and vegetables, amount of daily consumption of those, and the cooking style differ due to acculturation and affect T2D diabetes prevention and development.</w:t>
      </w:r>
    </w:p>
    <w:p w14:paraId="26F7F879" w14:textId="7777777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p>
    <w:p w14:paraId="12040E68" w14:textId="53D1DCC0"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 xml:space="preserve">The changing pattern of such modifiable factors like dietary behaviour for different generations in ethnic populations is unclear yet in literature, particularly in the UK, as some evidence exists for the immigrant population in the US. Research in the US demonstrated that an </w:t>
      </w:r>
      <w:r w:rsidR="003D4BBB" w:rsidRPr="00CF0DD8">
        <w:rPr>
          <w:rFonts w:eastAsia="Times New Roman"/>
          <w:color w:val="0E101A"/>
          <w:szCs w:val="24"/>
          <w:lang w:eastAsia="en-GB"/>
        </w:rPr>
        <w:t>unhealthy dietary habit</w:t>
      </w:r>
      <w:r w:rsidRPr="00CF0DD8">
        <w:rPr>
          <w:rFonts w:eastAsia="Times New Roman"/>
          <w:color w:val="0E101A"/>
          <w:szCs w:val="24"/>
          <w:lang w:eastAsia="en-GB"/>
        </w:rPr>
        <w:t xml:space="preserve"> such as low fruit and high fast food existed due to long-time acculturation in Latina immigrants in the USA</w:t>
      </w:r>
      <w:r w:rsidR="00352527">
        <w:rPr>
          <w:rFonts w:eastAsia="Times New Roman"/>
          <w:color w:val="0E101A"/>
          <w:szCs w:val="24"/>
          <w:lang w:eastAsia="en-GB"/>
        </w:rPr>
        <w:t xml:space="preserve"> </w:t>
      </w:r>
      <w:r w:rsidR="00352527">
        <w:rPr>
          <w:rFonts w:eastAsia="Times New Roman"/>
          <w:color w:val="0E101A"/>
          <w:szCs w:val="24"/>
          <w:lang w:eastAsia="en-GB"/>
        </w:rPr>
        <w:fldChar w:fldCharType="begin" w:fldLock="1"/>
      </w:r>
      <w:r w:rsidR="00352527">
        <w:rPr>
          <w:rFonts w:eastAsia="Times New Roman"/>
          <w:color w:val="0E101A"/>
          <w:szCs w:val="24"/>
          <w:lang w:eastAsia="en-GB"/>
        </w:rPr>
        <w:instrText>ADDIN CSL_CITATION {"citationItems":[{"id":"ITEM-1","itemData":{"ISSN":"1049510X","PMID":"16259501","abstract":"Purpose: To evaluate the performance of proxy measures of acculturation and to examine the association between acculturation and selected health-risk behaviors. Methods: Participants were 1062 Latina pregnant women who received prenatal care at clinics in San Joaquin County, California between 1999 and 2001. We used the receiver-operating characteristic (ROC) curve to characterize the sensitivity and specificity of proxy measures and regression analysis to examine health-risk behaviors. Results: Using the ARSMA-II short version scale as a reference, age at immigration had the highest percentage of correctly classified individuals. Acculturation was significantly associated with a lifetime history of substance use, risky sexual behavior, low fruit consumption, and high fast-food meal consumption. Conclusions: Acculturation is an important predictor of health-risk behavior among women. Further research is needed to better understand the phenomenon and to avert associated adverse health consequences.","author":[{"dropping-particle":"","family":"Kasirye","given":"Olivia C.","non-dropping-particle":"","parse-names":false,"suffix":""},{"dropping-particle":"","family":"Walsh","given":"Julia A.","non-dropping-particle":"","parse-names":false,"suffix":""},{"dropping-particle":"","family":"Romano","given":"Pattrick S.","non-dropping-particle":"","parse-names":false,"suffix":""},{"dropping-particle":"","family":"Beckett","given":"Laurel A.","non-dropping-particle":"","parse-names":false,"suffix":""},{"dropping-particle":"","family":"Garcia","given":"Jorge A.","non-dropping-particle":"","parse-names":false,"suffix":""},{"dropping-particle":"","family":"Elvine-Kreis","given":"Brenda","non-dropping-particle":"","parse-names":false,"suffix":""},{"dropping-particle":"","family":"Bethel","given":"Jeffrey W.","non-dropping-particle":"","parse-names":false,"suffix":""},{"dropping-particle":"","family":"Schenker","given":"Marc B.","non-dropping-particle":"","parse-names":false,"suffix":""}],"container-title":"Ethnicity and Disease","id":"ITEM-1","issue":"4","issued":{"date-parts":[["2005"]]},"page":"733-739","title":"Acculturation and its association with health-risk behaviors in a rural Latina population","type":"article-journal","volume":"15"},"uris":["http://www.mendeley.com/documents/?uuid=485c0075-af8e-4b30-ba9f-421dcd1a9c0e"]}],"mendeley":{"formattedCitation":"(Kasirye &lt;i&gt;et al.&lt;/i&gt;, 2005)","plainTextFormattedCitation":"(Kasirye et al., 2005)","previouslyFormattedCitation":"(Kasirye &lt;i&gt;et al.&lt;/i&gt;, 2005)"},"properties":{"noteIndex":0},"schema":"https://github.com/citation-style-language/schema/raw/master/csl-citation.json"}</w:instrText>
      </w:r>
      <w:r w:rsidR="00352527">
        <w:rPr>
          <w:rFonts w:eastAsia="Times New Roman"/>
          <w:color w:val="0E101A"/>
          <w:szCs w:val="24"/>
          <w:lang w:eastAsia="en-GB"/>
        </w:rPr>
        <w:fldChar w:fldCharType="separate"/>
      </w:r>
      <w:r w:rsidR="00352527" w:rsidRPr="00352527">
        <w:rPr>
          <w:rFonts w:eastAsia="Times New Roman"/>
          <w:noProof/>
          <w:color w:val="0E101A"/>
          <w:szCs w:val="24"/>
          <w:lang w:eastAsia="en-GB"/>
        </w:rPr>
        <w:t xml:space="preserve">(Kasirye </w:t>
      </w:r>
      <w:r w:rsidR="00352527" w:rsidRPr="00352527">
        <w:rPr>
          <w:rFonts w:eastAsia="Times New Roman"/>
          <w:i/>
          <w:noProof/>
          <w:color w:val="0E101A"/>
          <w:szCs w:val="24"/>
          <w:lang w:eastAsia="en-GB"/>
        </w:rPr>
        <w:t>et al.</w:t>
      </w:r>
      <w:r w:rsidR="00352527" w:rsidRPr="00352527">
        <w:rPr>
          <w:rFonts w:eastAsia="Times New Roman"/>
          <w:noProof/>
          <w:color w:val="0E101A"/>
          <w:szCs w:val="24"/>
          <w:lang w:eastAsia="en-GB"/>
        </w:rPr>
        <w:t>, 2005)</w:t>
      </w:r>
      <w:r w:rsidR="00352527">
        <w:rPr>
          <w:rFonts w:eastAsia="Times New Roman"/>
          <w:color w:val="0E101A"/>
          <w:szCs w:val="24"/>
          <w:lang w:eastAsia="en-GB"/>
        </w:rPr>
        <w:fldChar w:fldCharType="end"/>
      </w:r>
      <w:r w:rsidRPr="00CF0DD8">
        <w:rPr>
          <w:rFonts w:eastAsia="Times New Roman"/>
          <w:color w:val="0E101A"/>
          <w:szCs w:val="24"/>
          <w:lang w:eastAsia="en-GB"/>
        </w:rPr>
        <w:t xml:space="preserve">. Acculturated first-generation Chinese Americans consume more sweets, fatty foods, and soft drinks, and thus were advised to reduce such unhealthy diets; while the second generation was advised to follow a healthy lifestyle including more fruit and vegetable consumption </w:t>
      </w:r>
      <w:r w:rsidR="00352527">
        <w:rPr>
          <w:rFonts w:eastAsia="Times New Roman"/>
          <w:color w:val="0E101A"/>
          <w:szCs w:val="24"/>
          <w:lang w:eastAsia="en-GB"/>
        </w:rPr>
        <w:fldChar w:fldCharType="begin" w:fldLock="1"/>
      </w:r>
      <w:r w:rsidR="0062260F">
        <w:rPr>
          <w:rFonts w:eastAsia="Times New Roman"/>
          <w:color w:val="0E101A"/>
          <w:szCs w:val="24"/>
          <w:lang w:eastAsia="en-GB"/>
        </w:rPr>
        <w:instrText>ADDIN CSL_CITATION {"citationItems":[{"id":"ITEM-1","itemData":{"DOI":"10.1016/j.jada.2004.02.032","ISSN":"00028223","PMID":"15127063","abstract":"Objective To obtain information about dietary pattern change of Chinese Americans in Pennsylvania and its relationship with demographic characteristics and acculturation indicators. Design A cross-sectional self-administered survey. Subjects A convenience sample of 399 Chinese Americans. Statistical analyses performed t Tests, analysis of variance with Tukey post-hoc tests, Spearman rank correlation, and χ2 test. Results After immigration, Chinese Americans increased consumption frequency of all seven food groups (grains, vegetables, fruits, meat/meat alternatives, dairy products, fats/sweets, and beverages) and Western foods while consumption frequency of traditional Chinese foods decreased. Dietary variety also increased after immigration. Higher education and higher income levels were associated with a larger increase in consumption frequency of grains, vegetables, and fruits. Persons who resided in the United States for a longer period of time shared a greater increase in their consumption frequencies of vegetables, fats/sweets, and beverages. Persons with better English proficiency had a greater increase in their consumption frequency of grains, fruits, meat/meat alternatives, and fats/sweets. Conclusions This study can help nutrition educators design appropriate educational programs for first-generation Chinese Americans that can facilitate the adoption of more healthful dietary practices. Nutrition educators should consider the dietary changes of Chinese-American participants, such as skipping breakfast and increased consumption frequency of fats, sweets, and soft drinks, which were observed in this study. For example, acculturated first-generation Chinese Americans should be encouraged to decrease fats, sweets, and soft-drink consumption. Less-acculturated persons should be encouraged to maintain their healthful dietary pattern and increase consumption of vegetables and fruits.","author":[{"dropping-particle":"","family":"Lv","given":"Nan","non-dropping-particle":"","parse-names":false,"suffix":""},{"dropping-particle":"","family":"Cason","given":"Katherine L.","non-dropping-particle":"","parse-names":false,"suffix":""}],"container-title":"Journal of the American Dietetic Association","id":"ITEM-1","issue":"5","issued":{"date-parts":[["2004"]]},"page":"771-778","title":"Dietary pattern change and acculturation of Chinese Americans in Pennsylvania","type":"article-journal","volume":"104"},"uris":["http://www.mendeley.com/documents/?uuid=34e0171b-c2cb-485f-bd04-8e4953e6df31"]}],"mendeley":{"formattedCitation":"(Lv and Cason, 2004)","plainTextFormattedCitation":"(Lv and Cason, 2004)","previouslyFormattedCitation":"(Lv and Cason, 2004)"},"properties":{"noteIndex":0},"schema":"https://github.com/citation-style-language/schema/raw/master/csl-citation.json"}</w:instrText>
      </w:r>
      <w:r w:rsidR="00352527">
        <w:rPr>
          <w:rFonts w:eastAsia="Times New Roman"/>
          <w:color w:val="0E101A"/>
          <w:szCs w:val="24"/>
          <w:lang w:eastAsia="en-GB"/>
        </w:rPr>
        <w:fldChar w:fldCharType="separate"/>
      </w:r>
      <w:r w:rsidR="00352527" w:rsidRPr="00352527">
        <w:rPr>
          <w:rFonts w:eastAsia="Times New Roman"/>
          <w:noProof/>
          <w:color w:val="0E101A"/>
          <w:szCs w:val="24"/>
          <w:lang w:eastAsia="en-GB"/>
        </w:rPr>
        <w:t>(Lv and Cason, 2004)</w:t>
      </w:r>
      <w:r w:rsidR="00352527">
        <w:rPr>
          <w:rFonts w:eastAsia="Times New Roman"/>
          <w:color w:val="0E101A"/>
          <w:szCs w:val="24"/>
          <w:lang w:eastAsia="en-GB"/>
        </w:rPr>
        <w:fldChar w:fldCharType="end"/>
      </w:r>
      <w:r w:rsidRPr="00CF0DD8">
        <w:rPr>
          <w:rFonts w:eastAsia="Times New Roman"/>
          <w:color w:val="0E101A"/>
          <w:szCs w:val="24"/>
          <w:lang w:eastAsia="en-GB"/>
        </w:rPr>
        <w:t>. </w:t>
      </w:r>
    </w:p>
    <w:p w14:paraId="40A95418" w14:textId="7777777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 </w:t>
      </w:r>
    </w:p>
    <w:p w14:paraId="3B0BEBEB" w14:textId="3010FA4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The fourth prominent risk factor for mortality worldwide is deemed as sedentary activity</w:t>
      </w:r>
      <w:r w:rsidR="00352527">
        <w:rPr>
          <w:rFonts w:eastAsia="Times New Roman"/>
          <w:color w:val="0E101A"/>
          <w:szCs w:val="24"/>
          <w:lang w:eastAsia="en-GB"/>
        </w:rPr>
        <w:t xml:space="preserve"> </w:t>
      </w:r>
      <w:r w:rsidR="0062260F">
        <w:rPr>
          <w:rFonts w:eastAsia="Times New Roman"/>
          <w:color w:val="0E101A"/>
          <w:szCs w:val="24"/>
          <w:lang w:eastAsia="en-GB"/>
        </w:rPr>
        <w:fldChar w:fldCharType="begin" w:fldLock="1"/>
      </w:r>
      <w:r w:rsidR="0062260F">
        <w:rPr>
          <w:rFonts w:eastAsia="Times New Roman"/>
          <w:color w:val="0E101A"/>
          <w:szCs w:val="24"/>
          <w:lang w:eastAsia="en-GB"/>
        </w:rPr>
        <w:instrText>ADDIN CSL_CITATION {"citationItems":[{"id":"ITEM-1","itemData":{"abstract":"Physical activity (PA) has many beneficial physical and mental health effects. Physical inactivity is considered the fourth leading risk factor for global mortality. At present there are no systematic reviews on PA patterns among South Asian adults residing in the region. The present study aims to systematically evaluate studies on PA patterns in South Asian countries. A five-staged comprehensive search of the literature was conducted in Medline, Web of Science and SciVerse Scopus using keywords 'Exercise', 'Walking', 'Physical activity', 'Inactivity', 'Physical Activity Questionnaire', 'International Physical Activity Questionnaire', 'IPAQ', 'Global Physical Activity Questionnaire' and 'GPAQ', combined with individual country names. The search was restricted to English language articles conducted in humans and published before 31st December 2012. To obtain additional data a manual search of the reference lists of articles was performed. Data were also retrieved from the search of relevant web sites and online resources. The total number of hits obtained from the initial search was 1,771. The total number of research articles included in the present review is eleven (India-8, Sri Lanka-2, Pakistan-1). In addition, eleven country reports (Nepal-3, Bangladesh-2, India-2, Sri Lanka-2, Bhutan-1, Maldives-1) of World Health Organization STEPS survey from the South-Asian countries were retrieved online. In the research articles the overall prevalence of inactivity was as follows; India (18.5%-88.4%), Pakistan (60.1%) and Sri Lanka (11.0%-31.8%). STEPS survey reports were available from all countries except Pakistan. Overall in majority of STEPS surveys females were more inactive compared to males. Furthermore, leisure related inactivity was &gt;75% in studies reporting inactivity in this domain and people were more active in transport domain when compared with the other domains. In conclusion, our results show that there is a wide variation in the prevalence of physical inactivity among South-Asian adults within and between countries. Furthermore, physical inactivity in South Asian adults was associated with several socio-demographic characteristics. Majority of South Asian adults were inactive during their leisure time. These Factors need to be considered when planning future interventions and research aimed at improving PA in the region. © 2013 Ranasinghe et al.; licensee BioMed Central Ltd.","author":[{"dropping-particle":"","family":"Ranasinghe, C. D.","given":"","non-dropping-particle":"","parse-names":false,"suffix":""},{"dropping-particle":"","family":"Ranasinghe","given":"P.","non-dropping-particle":"","parse-names":false,"suffix":""},{"dropping-particle":"","family":"Jayawardena","given":"R.","non-dropping-particle":"","parse-names":false,"suffix":""},{"dropping-particle":"","family":"Misra","given":"A.","non-dropping-particle":"","parse-names":false,"suffix":""}],"container-title":"International Journal of Behavioral Nutrition and Physical Activity","id":"ITEM-1","issue":"116","issued":{"date-parts":[["2013"]]},"title":"Physical activity patterns among South-Asian adults: A systematic review","type":"article-journal","volume":"10"},"uris":["http://www.mendeley.com/documents/?uuid=4b1cb6ad-d629-452b-bde1-f7b255fc5450"]}],"mendeley":{"formattedCitation":"(Ranasinghe, C. D. &lt;i&gt;et al.&lt;/i&gt;, 2013)","plainTextFormattedCitation":"(Ranasinghe, C. D. et al., 2013)","previouslyFormattedCitation":"(Ranasinghe, C. D. &lt;i&gt;et al.&lt;/i&gt;, 2013)"},"properties":{"noteIndex":0},"schema":"https://github.com/citation-style-language/schema/raw/master/csl-citation.json"}</w:instrText>
      </w:r>
      <w:r w:rsidR="0062260F">
        <w:rPr>
          <w:rFonts w:eastAsia="Times New Roman"/>
          <w:color w:val="0E101A"/>
          <w:szCs w:val="24"/>
          <w:lang w:eastAsia="en-GB"/>
        </w:rPr>
        <w:fldChar w:fldCharType="separate"/>
      </w:r>
      <w:r w:rsidR="0062260F" w:rsidRPr="0062260F">
        <w:rPr>
          <w:rFonts w:eastAsia="Times New Roman"/>
          <w:noProof/>
          <w:color w:val="0E101A"/>
          <w:szCs w:val="24"/>
          <w:lang w:eastAsia="en-GB"/>
        </w:rPr>
        <w:t>(Ranasinghe</w:t>
      </w:r>
      <w:r w:rsidR="0062260F" w:rsidRPr="0062260F">
        <w:rPr>
          <w:rFonts w:eastAsia="Times New Roman"/>
          <w:i/>
          <w:noProof/>
          <w:color w:val="0E101A"/>
          <w:szCs w:val="24"/>
          <w:lang w:eastAsia="en-GB"/>
        </w:rPr>
        <w:t>et al.</w:t>
      </w:r>
      <w:r w:rsidR="0062260F" w:rsidRPr="0062260F">
        <w:rPr>
          <w:rFonts w:eastAsia="Times New Roman"/>
          <w:noProof/>
          <w:color w:val="0E101A"/>
          <w:szCs w:val="24"/>
          <w:lang w:eastAsia="en-GB"/>
        </w:rPr>
        <w:t>, 2013)</w:t>
      </w:r>
      <w:r w:rsidR="0062260F">
        <w:rPr>
          <w:rFonts w:eastAsia="Times New Roman"/>
          <w:color w:val="0E101A"/>
          <w:szCs w:val="24"/>
          <w:lang w:eastAsia="en-GB"/>
        </w:rPr>
        <w:fldChar w:fldCharType="end"/>
      </w:r>
      <w:r w:rsidRPr="00CF0DD8">
        <w:rPr>
          <w:rFonts w:eastAsia="Times New Roman"/>
          <w:color w:val="0E101A"/>
          <w:szCs w:val="24"/>
          <w:lang w:eastAsia="en-GB"/>
        </w:rPr>
        <w:t xml:space="preserve">. A lower level of physical activity was stated by South Asians born </w:t>
      </w:r>
      <w:r w:rsidR="00920BE7">
        <w:rPr>
          <w:rFonts w:eastAsia="Times New Roman"/>
          <w:color w:val="0E101A"/>
          <w:szCs w:val="24"/>
          <w:lang w:eastAsia="en-GB"/>
        </w:rPr>
        <w:t xml:space="preserve">population </w:t>
      </w:r>
      <w:r w:rsidRPr="00CF0DD8">
        <w:rPr>
          <w:rFonts w:eastAsia="Times New Roman"/>
          <w:color w:val="0E101A"/>
          <w:szCs w:val="24"/>
          <w:lang w:eastAsia="en-GB"/>
        </w:rPr>
        <w:t>outside the UK (1st generation) than those born inside the UK (2nd generation). This difference can be partly explained by cultural differences</w:t>
      </w:r>
      <w:r w:rsidR="0062260F">
        <w:rPr>
          <w:rFonts w:eastAsia="Times New Roman"/>
          <w:color w:val="0E101A"/>
          <w:szCs w:val="24"/>
          <w:lang w:eastAsia="en-GB"/>
        </w:rPr>
        <w:t xml:space="preserve"> </w:t>
      </w:r>
      <w:r w:rsidR="0062260F">
        <w:rPr>
          <w:rFonts w:eastAsia="Times New Roman"/>
          <w:color w:val="0E101A"/>
          <w:szCs w:val="24"/>
          <w:lang w:eastAsia="en-GB"/>
        </w:rPr>
        <w:fldChar w:fldCharType="begin" w:fldLock="1"/>
      </w:r>
      <w:r w:rsidR="0062260F">
        <w:rPr>
          <w:rFonts w:eastAsia="Times New Roman"/>
          <w:color w:val="0E101A"/>
          <w:szCs w:val="24"/>
          <w:lang w:eastAsia="en-GB"/>
        </w:rPr>
        <w:instrText>ADDIN CSL_CITATION {"citationItems":[{"id":"ITEM-1","itemData":{"DOI":"10.1136/jech.2009.102509","ISSN":"0143005X","PMID":"20525752","abstract":"Background: South Asians in the UK experience high rates of coronary heart disease compared with other ethnic groups. Behavioural risk factors such as physical inactivity have been explored as possible explanations for this trend. However, there have been few comprehensive accounts describing physical activity levels of this ethnic group. Methods: Data from the Health Survey for England (1999-2004) on 5421 South Asians and 8974 white participants aged 18-55 years were used to compare physical activity levels. Analyses of covariance tested the association between ethnicity and self-reported total physical activity metabolic equivalents of task (MET) scores, adjusting for age, sex, self-reported health, adiposity and socioeconomic status. Results: Total MET-min/week were consistently lower in UK South Asians than in white participants (973 vs 1465 MET-min, p&lt;0.001). This ethnic group difference was consistent across sexes, age groups and subgroups and was independent of covariates. South Asians born in the UK reported higher levels of physical activity than those born elsewhere (p&lt;0.001). Variables such as urbanisation and psychological distress were associated with physical activity; however, despite their inclusion in the models, ethnic group differences remained, indicating that physical inactivity in South Asians was not attributable to area or individual sociodemographic factors. Conclusions: Physical activity levels are very low in UK South Asians; this is consistent across all examined population subsets. Physical inactivity is likely to contribute to their high risk of coronary heart disease. Increasing physical activity in all UK South Asians should be a public health priority for health professionals.","author":[{"dropping-particle":"","family":"Williams","given":"Emily D.","non-dropping-particle":"","parse-names":false,"suffix":""},{"dropping-particle":"","family":"Stamatakis","given":"Emmanuel","non-dropping-particle":"","parse-names":false,"suffix":""},{"dropping-particle":"","family":"Chandola","given":"Tarani","non-dropping-particle":"","parse-names":false,"suffix":""},{"dropping-particle":"","family":"Hamer","given":"Mark","non-dropping-particle":"","parse-names":false,"suffix":""}],"container-title":"Journal of Epidemiology and Community Health","id":"ITEM-1","issue":"6","issued":{"date-parts":[["2011"]]},"page":"517-521","title":"Assessment of physical activity levels in South Asians in the UK: Findings from the Health Survey for England","type":"article-journal","volume":"65"},"uris":["http://www.mendeley.com/documents/?uuid=7619aeb9-262d-4141-aca1-d35ab36044c1"]}],"mendeley":{"formattedCitation":"(Williams &lt;i&gt;et al.&lt;/i&gt;, 2011)","plainTextFormattedCitation":"(Williams et al., 2011)","previouslyFormattedCitation":"(Williams &lt;i&gt;et al.&lt;/i&gt;, 2011)"},"properties":{"noteIndex":0},"schema":"https://github.com/citation-style-language/schema/raw/master/csl-citation.json"}</w:instrText>
      </w:r>
      <w:r w:rsidR="0062260F">
        <w:rPr>
          <w:rFonts w:eastAsia="Times New Roman"/>
          <w:color w:val="0E101A"/>
          <w:szCs w:val="24"/>
          <w:lang w:eastAsia="en-GB"/>
        </w:rPr>
        <w:fldChar w:fldCharType="separate"/>
      </w:r>
      <w:r w:rsidR="0062260F" w:rsidRPr="0062260F">
        <w:rPr>
          <w:rFonts w:eastAsia="Times New Roman"/>
          <w:noProof/>
          <w:color w:val="0E101A"/>
          <w:szCs w:val="24"/>
          <w:lang w:eastAsia="en-GB"/>
        </w:rPr>
        <w:t xml:space="preserve">(Williams </w:t>
      </w:r>
      <w:r w:rsidR="0062260F" w:rsidRPr="0062260F">
        <w:rPr>
          <w:rFonts w:eastAsia="Times New Roman"/>
          <w:i/>
          <w:noProof/>
          <w:color w:val="0E101A"/>
          <w:szCs w:val="24"/>
          <w:lang w:eastAsia="en-GB"/>
        </w:rPr>
        <w:t>et al.</w:t>
      </w:r>
      <w:r w:rsidR="0062260F" w:rsidRPr="0062260F">
        <w:rPr>
          <w:rFonts w:eastAsia="Times New Roman"/>
          <w:noProof/>
          <w:color w:val="0E101A"/>
          <w:szCs w:val="24"/>
          <w:lang w:eastAsia="en-GB"/>
        </w:rPr>
        <w:t>, 2011)</w:t>
      </w:r>
      <w:r w:rsidR="0062260F">
        <w:rPr>
          <w:rFonts w:eastAsia="Times New Roman"/>
          <w:color w:val="0E101A"/>
          <w:szCs w:val="24"/>
          <w:lang w:eastAsia="en-GB"/>
        </w:rPr>
        <w:fldChar w:fldCharType="end"/>
      </w:r>
      <w:r w:rsidRPr="00CF0DD8">
        <w:rPr>
          <w:rFonts w:eastAsia="Times New Roman"/>
          <w:color w:val="0E101A"/>
          <w:szCs w:val="24"/>
          <w:lang w:eastAsia="en-GB"/>
        </w:rPr>
        <w:t>.</w:t>
      </w:r>
      <w:r w:rsidR="00920BE7">
        <w:rPr>
          <w:rFonts w:eastAsia="Times New Roman"/>
          <w:color w:val="0E101A"/>
          <w:szCs w:val="24"/>
          <w:lang w:eastAsia="en-GB"/>
        </w:rPr>
        <w:t xml:space="preserve"> Past studies show that</w:t>
      </w:r>
      <w:r w:rsidRPr="00CF0DD8">
        <w:rPr>
          <w:rFonts w:eastAsia="Times New Roman"/>
          <w:color w:val="0E101A"/>
          <w:szCs w:val="24"/>
          <w:lang w:eastAsia="en-GB"/>
        </w:rPr>
        <w:t xml:space="preserve"> </w:t>
      </w:r>
      <w:r w:rsidRPr="005478EB">
        <w:rPr>
          <w:rFonts w:eastAsia="Times New Roman"/>
          <w:color w:val="0E101A"/>
          <w:szCs w:val="24"/>
          <w:lang w:eastAsia="en-GB"/>
        </w:rPr>
        <w:t>North African, South Asian, African Caribbean, and Mexican immigrants in Europe are less prone to taking sufficient physical exercise due to acculturation and are more likely to be overweight and obese and developing diabetes</w:t>
      </w:r>
      <w:r w:rsidR="0062260F" w:rsidRPr="005478EB">
        <w:rPr>
          <w:rFonts w:eastAsia="Times New Roman"/>
          <w:color w:val="0E101A"/>
          <w:szCs w:val="24"/>
          <w:lang w:eastAsia="en-GB"/>
        </w:rPr>
        <w:t xml:space="preserve"> </w:t>
      </w:r>
      <w:r w:rsidR="0062260F" w:rsidRPr="005478EB">
        <w:rPr>
          <w:rFonts w:eastAsia="Times New Roman"/>
          <w:color w:val="0E101A"/>
          <w:szCs w:val="24"/>
          <w:lang w:eastAsia="en-GB"/>
        </w:rPr>
        <w:fldChar w:fldCharType="begin" w:fldLock="1"/>
      </w:r>
      <w:r w:rsidR="0062260F" w:rsidRPr="005478EB">
        <w:rPr>
          <w:rFonts w:eastAsia="Times New Roman"/>
          <w:color w:val="0E101A"/>
          <w:szCs w:val="24"/>
          <w:lang w:eastAsia="en-GB"/>
        </w:rPr>
        <w:instrText>ADDIN CSL_CITATION {"citationItems":[{"id":"ITEM-1","itemData":{"DOI":"10.1111/j.1753-4887.2008.00025.x","ISSN":"00296643","PMID":"18366534","abstract":"A systematic review of the literature suggests the dietary habits of some ethnic groups living in Europe are likely to become less healthy as individuals increase consumption of processed foods that are energy dense and contain high levels of fat, sugar, and salt. Such products often replace healthy dietary components of the native diet, such as fruits, vegetables, nuts, and grains. Mixed food habits are emerging mainly amongst younger people in the second and third generations, most likely due to acculturation and adoption of a Western lifestyle. Age and immigrant generation are the major factors accounting for changes in dietary habits, whilst income, level of education, dietary laws, religion, and food beliefs are also important factors. Obesity, cardiovascular disease, diabetes, and hypertension present major problems for the mainstream European population. However, the risk of chronic disease is reported to be higher in ethnic populations, particularly South Asians, African Caribbeans, and Mexicans. © 2008 International Life Sciences Institute.","author":[{"dropping-particle":"","family":"Gilbert","given":"Penelope A.","non-dropping-particle":"","parse-names":false,"suffix":""},{"dropping-particle":"","family":"Khokhar","given":"Santosh","non-dropping-particle":"","parse-names":false,"suffix":""}],"container-title":"Nutrition Reviews","id":"ITEM-1","issue":"4","issued":{"date-parts":[["2008"]]},"page":"203-215","title":"Changing dietary habits of ethnic groups in Europe and implications for health","type":"article-journal","volume":"66"},"uris":["http://www.mendeley.com/documents/?uuid=4ae3b1a3-8d03-4b86-9a2d-4542dbb428d7"]},{"id":"ITEM-2","itemData":{"DOI":"10.1093/eurpub/cku111","ISSN":"1464360X","PMID":"25107997","abstract":"Childhood overweight and obesity have increased in recent decades, reaching alarming proportions. Children with a migrant background seem to be particularly at risk of developing overweight and obesity. This article provides an overview of the prevalence of overweight or obesity among North African (NA) children living in their own countries or as immigrants in Europe. The aim is to show the effect of the migration process on this trend and to discuss its possible contributing factors. Publications were identified by a systematic search of PubMed and the existing literature. Original longitudinal or cross-sectional studies on the prevalence of childhood and adolescent overweight and obesity and of physical activity among ethnic groups from North Africa compared with the native population were reviewed. The results confirmed that children of NA origin in Europe have higher levels of overweight and obesity than the native ones, especially girls. However, this trend can also be detected in urban areas of NA countries. Important factors contributing to the increase of overweight and obesity among children and adolescents are discussed, in particular the westernization of eating habits, the level of physical activity and body image perception. The review shows that factors linked to acculturation in the host society and others maintained from the country of origin come into play in determining childhood overweight and obesity among NA immigrants in Europe. The importance of health promotion targeting the groups most at risk of childhood overweight and obesity, i.e. aspects of a healthy diet and the benefits of physical activity, is underlined. © 2014 The Author 2014. Published by Oxford University Press on behalf of the European Public Health Association. All rights reserved.","author":[{"dropping-particle":"","family":"Gualdi-Russo","given":"Emanuela","non-dropping-particle":"","parse-names":false,"suffix":""},{"dropping-particle":"","family":"Zaccagni","given":"Luciana","non-dropping-particle":"","parse-names":false,"suffix":""},{"dropping-particle":"","family":"Manzon","given":"Vanessa S.","non-dropping-particle":"","parse-names":false,"suffix":""},{"dropping-particle":"","family":"Masotti","given":"Sabrina","non-dropping-particle":"","parse-names":false,"suffix":""},{"dropping-particle":"","family":"Rinaldo","given":"Natascia","non-dropping-particle":"","parse-names":false,"suffix":""},{"dropping-particle":"","family":"Khyatti","given":"Meriem","non-dropping-particle":"","parse-names":false,"suffix":""}],"container-title":"European Journal of Public Health","id":"ITEM-2","issue":"SUPPL.1","issued":{"date-parts":[["2014"]]},"page":"40-46","title":"Obesity and physical activity in children of immigrants","type":"article-journal","volume":"24"},"uris":["http://www.mendeley.com/documents/?uuid=97e3af3b-b6e7-41f4-8c8a-c66a14b0a82e"]}],"mendeley":{"formattedCitation":"(Gilbert and Khokhar, 2008; Gualdi-Russo &lt;i&gt;et al.&lt;/i&gt;, 2014)","plainTextFormattedCitation":"(Gilbert and Khokhar, 2008; Gualdi-Russo et al., 2014)","previouslyFormattedCitation":"(Gilbert and Khokhar, 2008; Gualdi-Russo &lt;i&gt;et al.&lt;/i&gt;, 2014)"},"properties":{"noteIndex":0},"schema":"https://github.com/citation-style-language/schema/raw/master/csl-citation.json"}</w:instrText>
      </w:r>
      <w:r w:rsidR="0062260F" w:rsidRPr="005478EB">
        <w:rPr>
          <w:rFonts w:eastAsia="Times New Roman"/>
          <w:color w:val="0E101A"/>
          <w:szCs w:val="24"/>
          <w:lang w:eastAsia="en-GB"/>
        </w:rPr>
        <w:fldChar w:fldCharType="separate"/>
      </w:r>
      <w:r w:rsidR="0062260F" w:rsidRPr="005478EB">
        <w:rPr>
          <w:rFonts w:eastAsia="Times New Roman"/>
          <w:noProof/>
          <w:color w:val="0E101A"/>
          <w:szCs w:val="24"/>
          <w:lang w:eastAsia="en-GB"/>
        </w:rPr>
        <w:t xml:space="preserve">(Gilbert and Khokhar, 2008; Gualdi-Russo </w:t>
      </w:r>
      <w:r w:rsidR="0062260F" w:rsidRPr="005478EB">
        <w:rPr>
          <w:rFonts w:eastAsia="Times New Roman"/>
          <w:i/>
          <w:noProof/>
          <w:color w:val="0E101A"/>
          <w:szCs w:val="24"/>
          <w:lang w:eastAsia="en-GB"/>
        </w:rPr>
        <w:t>et al.</w:t>
      </w:r>
      <w:r w:rsidR="0062260F" w:rsidRPr="005478EB">
        <w:rPr>
          <w:rFonts w:eastAsia="Times New Roman"/>
          <w:noProof/>
          <w:color w:val="0E101A"/>
          <w:szCs w:val="24"/>
          <w:lang w:eastAsia="en-GB"/>
        </w:rPr>
        <w:t>, 2014)</w:t>
      </w:r>
      <w:r w:rsidR="0062260F" w:rsidRPr="005478EB">
        <w:rPr>
          <w:rFonts w:eastAsia="Times New Roman"/>
          <w:color w:val="0E101A"/>
          <w:szCs w:val="24"/>
          <w:lang w:eastAsia="en-GB"/>
        </w:rPr>
        <w:fldChar w:fldCharType="end"/>
      </w:r>
      <w:r w:rsidRPr="005478EB">
        <w:rPr>
          <w:rFonts w:eastAsia="Times New Roman"/>
          <w:color w:val="0E101A"/>
          <w:szCs w:val="24"/>
          <w:lang w:eastAsia="en-GB"/>
        </w:rPr>
        <w:t>.</w:t>
      </w:r>
      <w:r w:rsidRPr="00CF0DD8">
        <w:rPr>
          <w:rFonts w:eastAsia="Times New Roman"/>
          <w:color w:val="0E101A"/>
          <w:szCs w:val="24"/>
          <w:lang w:eastAsia="en-GB"/>
        </w:rPr>
        <w:t> </w:t>
      </w:r>
    </w:p>
    <w:p w14:paraId="5082EC98" w14:textId="77777777" w:rsidR="00951863" w:rsidRDefault="00951863" w:rsidP="00CF0DD8">
      <w:pPr>
        <w:suppressAutoHyphens w:val="0"/>
        <w:autoSpaceDN/>
        <w:spacing w:after="0" w:line="360" w:lineRule="auto"/>
        <w:jc w:val="both"/>
        <w:textAlignment w:val="auto"/>
        <w:rPr>
          <w:rFonts w:eastAsia="Times New Roman"/>
          <w:color w:val="0E101A"/>
          <w:szCs w:val="24"/>
          <w:lang w:eastAsia="en-GB"/>
        </w:rPr>
      </w:pPr>
    </w:p>
    <w:p w14:paraId="53666FFC" w14:textId="331749CB"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Socio-cultural factors influence the likelihood of becoming a smoker or drinker (Best </w:t>
      </w:r>
      <w:r w:rsidRPr="00CF0DD8">
        <w:rPr>
          <w:rFonts w:eastAsia="Times New Roman"/>
          <w:i/>
          <w:iCs/>
          <w:color w:val="0E101A"/>
          <w:szCs w:val="24"/>
          <w:lang w:eastAsia="en-GB"/>
        </w:rPr>
        <w:t>et al.</w:t>
      </w:r>
      <w:r w:rsidRPr="00CF0DD8">
        <w:rPr>
          <w:rFonts w:eastAsia="Times New Roman"/>
          <w:color w:val="0E101A"/>
          <w:szCs w:val="24"/>
          <w:lang w:eastAsia="en-GB"/>
        </w:rPr>
        <w:t>, 2001). Among the Indians, Pakistanis, and Black Caribbeans, smoking and alcohol drinking habits are reported more by the second generation than the first</w:t>
      </w:r>
      <w:r w:rsidR="0062260F">
        <w:rPr>
          <w:rFonts w:eastAsia="Times New Roman"/>
          <w:color w:val="0E101A"/>
          <w:szCs w:val="24"/>
          <w:lang w:eastAsia="en-GB"/>
        </w:rPr>
        <w:t xml:space="preserve"> </w:t>
      </w:r>
      <w:r w:rsidR="0062260F">
        <w:rPr>
          <w:rFonts w:eastAsia="Times New Roman"/>
          <w:color w:val="0E101A"/>
          <w:szCs w:val="24"/>
          <w:lang w:eastAsia="en-GB"/>
        </w:rPr>
        <w:fldChar w:fldCharType="begin" w:fldLock="1"/>
      </w:r>
      <w:r w:rsidR="0062260F">
        <w:rPr>
          <w:rFonts w:eastAsia="Times New Roman"/>
          <w:color w:val="0E101A"/>
          <w:szCs w:val="24"/>
          <w:lang w:eastAsia="en-GB"/>
        </w:rPr>
        <w:instrText>ADDIN CSL_CITATION {"citationItems":[{"id":"ITEM-1","itemData":{"DOI":"10.3390/ijerph16122241","ISSN":"16604601","PMID":"31242661","abstract":"Background: This article explores ethnic minority generational differences in smoking behavior, frequency of alcohol consumption, and dietary style in Britain, and whether these differences can be explained by generational differences in socioeconomic status and ethnic identity. Method: Multivariate analyses using wave 2 (2010–2012) and wave 5 (2013–2015) of the United Kingdom Household Longitudinal Study on smoking behavior, frequency of alcohol consumption, and dietary style from 59,189 White British, 1690 Indians, 960 Pakistanis, 555 Bangladeshis, 1060 Black Caribbeans, and 1059 Black Africans, adjusted for demographic characteristics, socioeconomic status and ethnic identity. Results: While we find little evidence for generational differences in dietary style, second-generation Indians, Pakistanis, and Black Caribbeans have a significantly higher probability of smoking than the first-generation, and all second-generation minorities are significantly more likely to consume alcohol than their first-generation counterparts. Such generational differences in alcohol consumption are partly explained by second-generation minorities’ weakened ethnic identity and higher socioeconomic status. Conclusions: This study facilitates a better understanding of minority generational differences in health behaviors and the role of socioeconomic status and ethnic identity, highlighting the need for future policy interventions to target certain second-generation ethnic minorities who have adopted certain host society unhealthy lifestyles.","author":[{"dropping-particle":"","family":"Wang","given":"Senhu","non-dropping-particle":"","parse-names":false,"suffix":""},{"dropping-particle":"","family":"Li","given":"Shuanglong","non-dropping-particle":"","parse-names":false,"suffix":""}],"container-title":"International Journal of Environmental Research and Public Health","id":"ITEM-1","issue":"12","issued":{"date-parts":[["2019"]]},"page":"517-521","title":"Exploring generational differences of british ethnic minorities in smoking behavior, frequency of alcohol consumption, and dietary style","type":"article-journal","volume":"16"},"uris":["http://www.mendeley.com/documents/?uuid=e079f12b-c010-4a45-b472-09878c577497"]}],"mendeley":{"formattedCitation":"(Wang and Li, 2019)","plainTextFormattedCitation":"(Wang and Li, 2019)","previouslyFormattedCitation":"(Wang and Li, 2019)"},"properties":{"noteIndex":0},"schema":"https://github.com/citation-style-language/schema/raw/master/csl-citation.json"}</w:instrText>
      </w:r>
      <w:r w:rsidR="0062260F">
        <w:rPr>
          <w:rFonts w:eastAsia="Times New Roman"/>
          <w:color w:val="0E101A"/>
          <w:szCs w:val="24"/>
          <w:lang w:eastAsia="en-GB"/>
        </w:rPr>
        <w:fldChar w:fldCharType="separate"/>
      </w:r>
      <w:r w:rsidR="0062260F" w:rsidRPr="0062260F">
        <w:rPr>
          <w:rFonts w:eastAsia="Times New Roman"/>
          <w:noProof/>
          <w:color w:val="0E101A"/>
          <w:szCs w:val="24"/>
          <w:lang w:eastAsia="en-GB"/>
        </w:rPr>
        <w:t>(Wang and Li, 2019)</w:t>
      </w:r>
      <w:r w:rsidR="0062260F">
        <w:rPr>
          <w:rFonts w:eastAsia="Times New Roman"/>
          <w:color w:val="0E101A"/>
          <w:szCs w:val="24"/>
          <w:lang w:eastAsia="en-GB"/>
        </w:rPr>
        <w:fldChar w:fldCharType="end"/>
      </w:r>
      <w:r w:rsidRPr="00CF0DD8">
        <w:rPr>
          <w:rFonts w:eastAsia="Times New Roman"/>
          <w:color w:val="0E101A"/>
          <w:szCs w:val="24"/>
          <w:lang w:eastAsia="en-GB"/>
        </w:rPr>
        <w:t>. Either active or passive smoking</w:t>
      </w:r>
      <w:r w:rsidR="0062260F">
        <w:rPr>
          <w:rFonts w:eastAsia="Times New Roman"/>
          <w:color w:val="0E101A"/>
          <w:szCs w:val="24"/>
          <w:lang w:eastAsia="en-GB"/>
        </w:rPr>
        <w:t xml:space="preserve"> </w:t>
      </w:r>
      <w:r w:rsidR="0062260F">
        <w:rPr>
          <w:rFonts w:eastAsia="Times New Roman"/>
          <w:color w:val="0E101A"/>
          <w:szCs w:val="24"/>
          <w:lang w:eastAsia="en-GB"/>
        </w:rPr>
        <w:fldChar w:fldCharType="begin" w:fldLock="1"/>
      </w:r>
      <w:r w:rsidR="00105C28">
        <w:rPr>
          <w:rFonts w:eastAsia="Times New Roman"/>
          <w:color w:val="0E101A"/>
          <w:szCs w:val="24"/>
          <w:lang w:eastAsia="en-GB"/>
        </w:rPr>
        <w:instrText>ADDIN CSL_CITATION {"citationItems":[{"id":"ITEM-1","itemData":{"DOI":"10.2337/dc10-2087","author":[{"dropping-particle":"","family":"Zhang","given":"LUXIA","non-dropping-particle":"","parse-names":false,"suffix":""},{"dropping-particle":"","family":"CURHAN","given":"GARY C.","non-dropping-particle":"","parse-names":false,"suffix":""},{"dropping-particle":"","family":"HU","given":"FRANK B.","non-dropping-particle":"","parse-names":false,"suffix":""},{"dropping-particle":"","family":"RIMM","given":"ERIC B.","non-dropping-particle":"","parse-names":false,"suffix":""},{"dropping-particle":"","family":"FORMAN","given":"JOHN P.","non-dropping-particle":"","parse-names":false,"suffix":""}],"container-title":"Diabetes Care","id":"ITEM-1","issue":"April 2011","issued":{"date-parts":[["2011"]]},"page":"892–897","title":"Association Between Passive and Active Smoking and Incident Type 2 Diabetes in Women","type":"article-journal","volume":"34"},"uris":["http://www.mendeley.com/documents/?uuid=f07e7081-7efd-4400-934b-f75910437ca2"]}],"mendeley":{"formattedCitation":"(Zhang &lt;i&gt;et al.&lt;/i&gt;, 2011)","plainTextFormattedCitation":"(Zhang et al., 2011)","previouslyFormattedCitation":"(Zhang &lt;i&gt;et al.&lt;/i&gt;, 2011)"},"properties":{"noteIndex":0},"schema":"https://github.com/citation-style-language/schema/raw/master/csl-citation.json"}</w:instrText>
      </w:r>
      <w:r w:rsidR="0062260F">
        <w:rPr>
          <w:rFonts w:eastAsia="Times New Roman"/>
          <w:color w:val="0E101A"/>
          <w:szCs w:val="24"/>
          <w:lang w:eastAsia="en-GB"/>
        </w:rPr>
        <w:fldChar w:fldCharType="separate"/>
      </w:r>
      <w:r w:rsidR="0062260F" w:rsidRPr="0062260F">
        <w:rPr>
          <w:rFonts w:eastAsia="Times New Roman"/>
          <w:noProof/>
          <w:color w:val="0E101A"/>
          <w:szCs w:val="24"/>
          <w:lang w:eastAsia="en-GB"/>
        </w:rPr>
        <w:t xml:space="preserve">(Zhang </w:t>
      </w:r>
      <w:r w:rsidR="0062260F" w:rsidRPr="0062260F">
        <w:rPr>
          <w:rFonts w:eastAsia="Times New Roman"/>
          <w:i/>
          <w:noProof/>
          <w:color w:val="0E101A"/>
          <w:szCs w:val="24"/>
          <w:lang w:eastAsia="en-GB"/>
        </w:rPr>
        <w:t>et al.</w:t>
      </w:r>
      <w:r w:rsidR="0062260F" w:rsidRPr="0062260F">
        <w:rPr>
          <w:rFonts w:eastAsia="Times New Roman"/>
          <w:noProof/>
          <w:color w:val="0E101A"/>
          <w:szCs w:val="24"/>
          <w:lang w:eastAsia="en-GB"/>
        </w:rPr>
        <w:t>, 2011)</w:t>
      </w:r>
      <w:r w:rsidR="0062260F">
        <w:rPr>
          <w:rFonts w:eastAsia="Times New Roman"/>
          <w:color w:val="0E101A"/>
          <w:szCs w:val="24"/>
          <w:lang w:eastAsia="en-GB"/>
        </w:rPr>
        <w:fldChar w:fldCharType="end"/>
      </w:r>
      <w:r w:rsidRPr="00CF0DD8">
        <w:rPr>
          <w:rFonts w:eastAsia="Times New Roman"/>
          <w:color w:val="0E101A"/>
          <w:szCs w:val="24"/>
          <w:lang w:eastAsia="en-GB"/>
        </w:rPr>
        <w:t xml:space="preserve"> and alcohol drinking enhance the earlier onset of T2D</w:t>
      </w:r>
      <w:r w:rsidR="0062260F">
        <w:rPr>
          <w:rFonts w:eastAsia="Times New Roman"/>
          <w:color w:val="0E101A"/>
          <w:szCs w:val="24"/>
          <w:lang w:eastAsia="en-GB"/>
        </w:rPr>
        <w:t xml:space="preserve"> </w:t>
      </w:r>
      <w:r w:rsidR="00105C28">
        <w:rPr>
          <w:rFonts w:eastAsia="Times New Roman"/>
          <w:color w:val="0E101A"/>
          <w:szCs w:val="24"/>
          <w:lang w:eastAsia="en-GB"/>
        </w:rPr>
        <w:fldChar w:fldCharType="begin" w:fldLock="1"/>
      </w:r>
      <w:r w:rsidR="00105C28">
        <w:rPr>
          <w:rFonts w:eastAsia="Times New Roman"/>
          <w:color w:val="0E101A"/>
          <w:szCs w:val="24"/>
          <w:lang w:eastAsia="en-GB"/>
        </w:rPr>
        <w:instrText>ADDIN CSL_CITATION {"citationItems":[{"id":"ITEM-1","itemData":{"author":[{"dropping-particle":"","family":"Johnson","given":"Karlon H","non-dropping-particle":"","parse-names":false,"suffix":""},{"dropping-particle":"","family":"Bazargan","given":"Mohsen","non-dropping-particle":"","parse-names":false,"suffix":""},{"dropping-particle":"","family":"Cherpitel","given":"Cheryl J","non-dropping-particle":"","parse-names":false,"suffix":""}],"container-title":"J Am Board Fam Pract","id":"ITEM-1","issue":"6","issued":{"date-parts":[["2001"]]},"page":"430-436","title":"Alcohol , Tobacco , and Drug Use and the Onset of Type 2 Diabetes Among Inner-city Minority Patients","type":"article-journal","volume":"14"},"uris":["http://www.mendeley.com/documents/?uuid=b76cd175-31b3-4f9d-8ef2-4fb8bfa57ab2"]}],"mendeley":{"formattedCitation":"(Johnson, Bazargan and Cherpitel, 2001)","plainTextFormattedCitation":"(Johnson, Bazargan and Cherpitel, 2001)","previouslyFormattedCitation":"(Johnson, Bazargan and Cherpitel, 2001)"},"properties":{"noteIndex":0},"schema":"https://github.com/citation-style-language/schema/raw/master/csl-citation.json"}</w:instrText>
      </w:r>
      <w:r w:rsidR="00105C28">
        <w:rPr>
          <w:rFonts w:eastAsia="Times New Roman"/>
          <w:color w:val="0E101A"/>
          <w:szCs w:val="24"/>
          <w:lang w:eastAsia="en-GB"/>
        </w:rPr>
        <w:fldChar w:fldCharType="separate"/>
      </w:r>
      <w:r w:rsidR="00105C28" w:rsidRPr="00105C28">
        <w:rPr>
          <w:rFonts w:eastAsia="Times New Roman"/>
          <w:noProof/>
          <w:color w:val="0E101A"/>
          <w:szCs w:val="24"/>
          <w:lang w:eastAsia="en-GB"/>
        </w:rPr>
        <w:t>(Johnson, Bazargan and Cherpitel, 2001)</w:t>
      </w:r>
      <w:r w:rsidR="00105C28">
        <w:rPr>
          <w:rFonts w:eastAsia="Times New Roman"/>
          <w:color w:val="0E101A"/>
          <w:szCs w:val="24"/>
          <w:lang w:eastAsia="en-GB"/>
        </w:rPr>
        <w:fldChar w:fldCharType="end"/>
      </w:r>
      <w:r w:rsidRPr="00CF0DD8">
        <w:rPr>
          <w:rFonts w:eastAsia="Times New Roman"/>
          <w:color w:val="0E101A"/>
          <w:szCs w:val="24"/>
          <w:lang w:eastAsia="en-GB"/>
        </w:rPr>
        <w:t>.</w:t>
      </w:r>
    </w:p>
    <w:p w14:paraId="1BE2F9AE" w14:textId="7777777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 </w:t>
      </w:r>
    </w:p>
    <w:p w14:paraId="6D914799" w14:textId="77777777" w:rsidR="00CF0DD8" w:rsidRPr="00CF0DD8" w:rsidRDefault="00CF0DD8" w:rsidP="00CF0DD8">
      <w:pPr>
        <w:suppressAutoHyphens w:val="0"/>
        <w:autoSpaceDN/>
        <w:spacing w:after="0" w:line="360" w:lineRule="auto"/>
        <w:jc w:val="both"/>
        <w:textAlignment w:val="auto"/>
        <w:rPr>
          <w:rFonts w:eastAsia="Times New Roman"/>
          <w:color w:val="0E101A"/>
          <w:szCs w:val="24"/>
          <w:lang w:eastAsia="en-GB"/>
        </w:rPr>
      </w:pPr>
      <w:r w:rsidRPr="00CF0DD8">
        <w:rPr>
          <w:rFonts w:eastAsia="Times New Roman"/>
          <w:color w:val="0E101A"/>
          <w:szCs w:val="24"/>
          <w:lang w:eastAsia="en-GB"/>
        </w:rPr>
        <w:t xml:space="preserve">Despite such importance, to the author's knowledge and research, no study focused on the generational effect on the onset of T2D in dietary and healthy lifestyle habits in Asian, African, and Caribbean adults living in the UK. Thus, the study aims to investigate whether these changing dietary and lifestyle habits affect the onset of T2D in terms of generations. Moreover, </w:t>
      </w:r>
      <w:r w:rsidRPr="00CF0DD8">
        <w:rPr>
          <w:rFonts w:eastAsia="Times New Roman"/>
          <w:color w:val="0E101A"/>
          <w:szCs w:val="24"/>
          <w:lang w:eastAsia="en-GB"/>
        </w:rPr>
        <w:lastRenderedPageBreak/>
        <w:t>whether generation of Asian, African and Caribbean, living in the UK differs in terms of onset of T2D. </w:t>
      </w:r>
    </w:p>
    <w:p w14:paraId="6E597EE3" w14:textId="5D18E6D1" w:rsidR="00533792" w:rsidRPr="003D4BBB" w:rsidRDefault="00533792" w:rsidP="00533792"/>
    <w:p w14:paraId="7A65B216" w14:textId="394A60BC" w:rsidR="00533792" w:rsidRPr="003D4BBB" w:rsidRDefault="00920BE7" w:rsidP="00ED04FB">
      <w:pPr>
        <w:spacing w:line="360" w:lineRule="auto"/>
        <w:jc w:val="both"/>
        <w:rPr>
          <w:b/>
          <w:bCs/>
        </w:rPr>
      </w:pPr>
      <w:r>
        <w:rPr>
          <w:b/>
          <w:bCs/>
        </w:rPr>
        <w:t xml:space="preserve">Data and </w:t>
      </w:r>
      <w:r w:rsidR="00533792" w:rsidRPr="003D4BBB">
        <w:rPr>
          <w:b/>
          <w:bCs/>
        </w:rPr>
        <w:t>Methods</w:t>
      </w:r>
      <w:r w:rsidR="00533792" w:rsidRPr="003D4BBB">
        <w:t xml:space="preserve"> </w:t>
      </w:r>
    </w:p>
    <w:p w14:paraId="6DE1A3B8" w14:textId="67C2FBDD" w:rsidR="00FB57F8" w:rsidRPr="00FB57F8" w:rsidRDefault="00920BE7" w:rsidP="00ED04FB">
      <w:pPr>
        <w:pStyle w:val="NormalWeb"/>
        <w:spacing w:before="0" w:after="0" w:line="360" w:lineRule="auto"/>
        <w:jc w:val="both"/>
        <w:rPr>
          <w:i/>
          <w:iCs/>
          <w:color w:val="0E101A"/>
        </w:rPr>
      </w:pPr>
      <w:r>
        <w:rPr>
          <w:rStyle w:val="Strong"/>
          <w:i/>
          <w:iCs/>
          <w:color w:val="0E101A"/>
        </w:rPr>
        <w:t xml:space="preserve">The </w:t>
      </w:r>
      <w:r w:rsidR="00ED04FB" w:rsidRPr="00FB57F8">
        <w:rPr>
          <w:rStyle w:val="Strong"/>
          <w:i/>
          <w:iCs/>
          <w:color w:val="0E101A"/>
        </w:rPr>
        <w:t>Data</w:t>
      </w:r>
    </w:p>
    <w:p w14:paraId="627863E9" w14:textId="132AD95E" w:rsidR="00ED04FB" w:rsidRPr="003D4BBB" w:rsidRDefault="00ED04FB" w:rsidP="00ED04FB">
      <w:pPr>
        <w:pStyle w:val="NormalWeb"/>
        <w:spacing w:before="0" w:after="0" w:line="360" w:lineRule="auto"/>
        <w:jc w:val="both"/>
        <w:rPr>
          <w:color w:val="0E101A"/>
        </w:rPr>
      </w:pPr>
      <w:r w:rsidRPr="003D4BBB">
        <w:rPr>
          <w:color w:val="0E101A"/>
        </w:rPr>
        <w:t>This study incorporated longitudinal self-reported data for 3459 Asian, African and Caribbean adults aged 25+ years whose information are available in both waves, namely, wave 7 (2016) and wave 9 (2019), from Understanding Society, the UK Household Longitudinal Study. Moreover, to identify the new cases of T2D between 2016 and 2019, this study excluded respondents who had already T2D in wave 7. Thus, the analytical sample includes respondents who were free from T2D in the baseline period. </w:t>
      </w:r>
    </w:p>
    <w:p w14:paraId="28D11D4A" w14:textId="77777777" w:rsidR="00ED04FB" w:rsidRPr="003D4BBB" w:rsidRDefault="00ED04FB" w:rsidP="00ED04FB">
      <w:pPr>
        <w:pStyle w:val="NormalWeb"/>
        <w:spacing w:before="0" w:after="0" w:line="360" w:lineRule="auto"/>
        <w:jc w:val="both"/>
        <w:rPr>
          <w:color w:val="0E101A"/>
        </w:rPr>
      </w:pPr>
    </w:p>
    <w:p w14:paraId="3F9DCC58" w14:textId="0CF915ED" w:rsidR="00ED04FB" w:rsidRPr="003D4BBB" w:rsidRDefault="00ED04FB" w:rsidP="00ED04FB">
      <w:pPr>
        <w:pStyle w:val="NormalWeb"/>
        <w:spacing w:before="0" w:after="0" w:line="360" w:lineRule="auto"/>
        <w:jc w:val="both"/>
        <w:rPr>
          <w:color w:val="0E101A"/>
        </w:rPr>
      </w:pPr>
      <w:r w:rsidRPr="003D4BBB">
        <w:rPr>
          <w:color w:val="0E101A"/>
        </w:rPr>
        <w:t>This survey was initiated to collect data using a clustered and stratified probability sampling design in 2009-2010 from 40000 households who lived in the UK and visited them with new households each year to collect updated information</w:t>
      </w:r>
      <w:r w:rsidR="00105C28">
        <w:rPr>
          <w:color w:val="0E101A"/>
        </w:rPr>
        <w:t xml:space="preserve"> </w:t>
      </w:r>
      <w:r w:rsidR="00105C28">
        <w:rPr>
          <w:color w:val="0E101A"/>
        </w:rPr>
        <w:fldChar w:fldCharType="begin" w:fldLock="1"/>
      </w:r>
      <w:r w:rsidR="00105C28">
        <w:rPr>
          <w:color w:val="0E101A"/>
        </w:rPr>
        <w:instrText>ADDIN CSL_CITATION {"citationItems":[{"id":"ITEM-1","itemData":{"author":[{"dropping-particle":"","family":"Gundi Knies","given":"","non-dropping-particle":"","parse-names":false,"suffix":""}],"id":"ITEM-1","issue":"November","issued":{"date-parts":[["2017"]]},"title":"Understanding Society –UK Household Longitudinal Study: Wave 1 -7, 2009-2016, User Guide.","type":"report"},"uris":["http://www.mendeley.com/documents/?uuid=2c09a2e9-802b-4de2-8b09-e12415d7a005"]},{"id":"ITEM-2","itemData":{"author":[{"dropping-particle":"","family":"Jäckle","given":"Annette","non-dropping-particle":"","parse-names":false,"suffix":""},{"dropping-particle":"","family":"Gaia","given":"Alessandra","non-dropping-particle":"","parse-names":false,"suffix":""},{"dropping-particle":"Al","family":"Baghal","given":"Tarek","non-dropping-particle":"","parse-names":false,"suffix":""}],"id":"ITEM-2","issue":"1","issued":{"date-parts":[["2017"]]},"title":"Understanding Society The UK Household Longitudinal Study Innovation Panel , Waves 1-9 , User Manual","type":"report"},"uris":["http://www.mendeley.com/documents/?uuid=1f3957be-0ac0-44ae-9d2d-969db45ad533"]}],"mendeley":{"formattedCitation":"(Gundi Knies, 2017; Jäckle, Gaia and Baghal, 2017)","plainTextFormattedCitation":"(Gundi Knies, 2017; Jäckle, Gaia and Baghal, 2017)","previouslyFormattedCitation":"(Gundi Knies, 2017; Jäckle, Gaia and Baghal, 2017)"},"properties":{"noteIndex":0},"schema":"https://github.com/citation-style-language/schema/raw/master/csl-citation.json"}</w:instrText>
      </w:r>
      <w:r w:rsidR="00105C28">
        <w:rPr>
          <w:color w:val="0E101A"/>
        </w:rPr>
        <w:fldChar w:fldCharType="separate"/>
      </w:r>
      <w:r w:rsidR="00105C28" w:rsidRPr="00105C28">
        <w:rPr>
          <w:noProof/>
          <w:color w:val="0E101A"/>
        </w:rPr>
        <w:t>(Gundi Knies, 2017; Jäckle, Gaia and Baghal, 2017)</w:t>
      </w:r>
      <w:r w:rsidR="00105C28">
        <w:rPr>
          <w:color w:val="0E101A"/>
        </w:rPr>
        <w:fldChar w:fldCharType="end"/>
      </w:r>
      <w:r w:rsidRPr="003D4BBB">
        <w:rPr>
          <w:color w:val="0E101A"/>
        </w:rPr>
        <w:t xml:space="preserve">. </w:t>
      </w:r>
    </w:p>
    <w:p w14:paraId="1221DF3C" w14:textId="77777777" w:rsidR="00ED04FB" w:rsidRPr="003D4BBB" w:rsidRDefault="00ED04FB" w:rsidP="00ED04FB">
      <w:pPr>
        <w:pStyle w:val="NormalWeb"/>
        <w:spacing w:before="0" w:after="0" w:line="360" w:lineRule="auto"/>
        <w:jc w:val="both"/>
        <w:rPr>
          <w:color w:val="0E101A"/>
        </w:rPr>
      </w:pPr>
    </w:p>
    <w:p w14:paraId="23B5189F" w14:textId="5721264D" w:rsidR="00ED04FB" w:rsidRPr="003D4BBB" w:rsidRDefault="00ED04FB" w:rsidP="00ED04FB">
      <w:pPr>
        <w:pStyle w:val="NormalWeb"/>
        <w:spacing w:before="0" w:after="0" w:line="360" w:lineRule="auto"/>
        <w:jc w:val="both"/>
        <w:rPr>
          <w:color w:val="0E101A"/>
        </w:rPr>
      </w:pPr>
      <w:r w:rsidRPr="003D4BBB">
        <w:rPr>
          <w:color w:val="0E101A"/>
        </w:rPr>
        <w:t>Economic and Social Council and several departments from England, Welsh, Scotland, and Ireland funded to Understanding Society</w:t>
      </w:r>
      <w:r w:rsidR="00105C28">
        <w:rPr>
          <w:color w:val="0E101A"/>
        </w:rPr>
        <w:t xml:space="preserve"> </w:t>
      </w:r>
      <w:r w:rsidR="00105C28">
        <w:rPr>
          <w:color w:val="0E101A"/>
        </w:rPr>
        <w:fldChar w:fldCharType="begin" w:fldLock="1"/>
      </w:r>
      <w:r w:rsidR="00105C28">
        <w:rPr>
          <w:color w:val="0E101A"/>
        </w:rPr>
        <w:instrText>ADDIN CSL_CITATION {"citationItems":[{"id":"ITEM-1","itemData":{"author":[{"dropping-particle":"","family":"Gundi Knies","given":"","non-dropping-particle":"","parse-names":false,"suffix":""}],"id":"ITEM-1","issue":"November","issued":{"date-parts":[["2017"]]},"title":"Understanding Society –UK Household Longitudinal Study: Wave 1 -7, 2009-2016, User Guide.","type":"report"},"uris":["http://www.mendeley.com/documents/?uuid=2c09a2e9-802b-4de2-8b09-e12415d7a005"]}],"mendeley":{"formattedCitation":"(Gundi Knies, 2017)","plainTextFormattedCitation":"(Gundi Knies, 2017)","previouslyFormattedCitation":"(Gundi Knies, 2017)"},"properties":{"noteIndex":0},"schema":"https://github.com/citation-style-language/schema/raw/master/csl-citation.json"}</w:instrText>
      </w:r>
      <w:r w:rsidR="00105C28">
        <w:rPr>
          <w:color w:val="0E101A"/>
        </w:rPr>
        <w:fldChar w:fldCharType="separate"/>
      </w:r>
      <w:r w:rsidR="00105C28" w:rsidRPr="00105C28">
        <w:rPr>
          <w:noProof/>
          <w:color w:val="0E101A"/>
        </w:rPr>
        <w:t>(Gundi Knies, 2017)</w:t>
      </w:r>
      <w:r w:rsidR="00105C28">
        <w:rPr>
          <w:color w:val="0E101A"/>
        </w:rPr>
        <w:fldChar w:fldCharType="end"/>
      </w:r>
      <w:r w:rsidRPr="003D4BBB">
        <w:rPr>
          <w:color w:val="0E101A"/>
        </w:rPr>
        <w:t>. The University of Essex, the University of Warwick, and the London School of Economics lead scientific issues</w:t>
      </w:r>
      <w:r w:rsidR="00105C28">
        <w:rPr>
          <w:color w:val="0E101A"/>
        </w:rPr>
        <w:t xml:space="preserve"> </w:t>
      </w:r>
      <w:r w:rsidR="00105C28">
        <w:rPr>
          <w:color w:val="0E101A"/>
        </w:rPr>
        <w:fldChar w:fldCharType="begin" w:fldLock="1"/>
      </w:r>
      <w:r w:rsidR="00105C28">
        <w:rPr>
          <w:color w:val="0E101A"/>
        </w:rPr>
        <w:instrText>ADDIN CSL_CITATION {"citationItems":[{"id":"ITEM-1","itemData":{"author":[{"dropping-particle":"","family":"Gundi Knies","given":"","non-dropping-particle":"","parse-names":false,"suffix":""}],"id":"ITEM-1","issue":"November","issued":{"date-parts":[["2017"]]},"title":"Understanding Society –UK Household Longitudinal Study: Wave 1 -7, 2009-2016, User Guide.","type":"report"},"uris":["http://www.mendeley.com/documents/?uuid=2c09a2e9-802b-4de2-8b09-e12415d7a005"]}],"mendeley":{"formattedCitation":"(Gundi Knies, 2017)","plainTextFormattedCitation":"(Gundi Knies, 2017)","previouslyFormattedCitation":"(Gundi Knies, 2017)"},"properties":{"noteIndex":0},"schema":"https://github.com/citation-style-language/schema/raw/master/csl-citation.json"}</w:instrText>
      </w:r>
      <w:r w:rsidR="00105C28">
        <w:rPr>
          <w:color w:val="0E101A"/>
        </w:rPr>
        <w:fldChar w:fldCharType="separate"/>
      </w:r>
      <w:r w:rsidR="00105C28" w:rsidRPr="00105C28">
        <w:rPr>
          <w:noProof/>
          <w:color w:val="0E101A"/>
        </w:rPr>
        <w:t>(Gundi Knies, 2017)</w:t>
      </w:r>
      <w:r w:rsidR="00105C28">
        <w:rPr>
          <w:color w:val="0E101A"/>
        </w:rPr>
        <w:fldChar w:fldCharType="end"/>
      </w:r>
      <w:r w:rsidRPr="003D4BBB">
        <w:rPr>
          <w:color w:val="0E101A"/>
        </w:rPr>
        <w:t>. This study provides data to research longitudinally in health, social life, family, education, work, and income for the UK (including ethnic) population</w:t>
      </w:r>
      <w:r w:rsidR="00105C28">
        <w:rPr>
          <w:color w:val="0E101A"/>
        </w:rPr>
        <w:t xml:space="preserve"> </w:t>
      </w:r>
      <w:r w:rsidR="00105C28">
        <w:rPr>
          <w:color w:val="0E101A"/>
        </w:rPr>
        <w:fldChar w:fldCharType="begin" w:fldLock="1"/>
      </w:r>
      <w:r w:rsidR="00E94D6C">
        <w:rPr>
          <w:color w:val="0E101A"/>
        </w:rPr>
        <w:instrText>ADDIN CSL_CITATION {"citationItems":[{"id":"ITEM-1","itemData":{"author":[{"dropping-particle":"","family":"Gundi Knies","given":"","non-dropping-particle":"","parse-names":false,"suffix":""}],"id":"ITEM-1","issue":"November","issued":{"date-parts":[["2017"]]},"title":"Understanding Society –UK Household Longitudinal Study: Wave 1 -7, 2009-2016, User Guide.","type":"report"},"uris":["http://www.mendeley.com/documents/?uuid=2c09a2e9-802b-4de2-8b09-e12415d7a005"]}],"mendeley":{"formattedCitation":"(Gundi Knies, 2017)","plainTextFormattedCitation":"(Gundi Knies, 2017)","previouslyFormattedCitation":"(Gundi Knies, 2017)"},"properties":{"noteIndex":0},"schema":"https://github.com/citation-style-language/schema/raw/master/csl-citation.json"}</w:instrText>
      </w:r>
      <w:r w:rsidR="00105C28">
        <w:rPr>
          <w:color w:val="0E101A"/>
        </w:rPr>
        <w:fldChar w:fldCharType="separate"/>
      </w:r>
      <w:r w:rsidR="00105C28" w:rsidRPr="00105C28">
        <w:rPr>
          <w:noProof/>
          <w:color w:val="0E101A"/>
        </w:rPr>
        <w:t>(Gundi Knies, 2017)</w:t>
      </w:r>
      <w:r w:rsidR="00105C28">
        <w:rPr>
          <w:color w:val="0E101A"/>
        </w:rPr>
        <w:fldChar w:fldCharType="end"/>
      </w:r>
      <w:r w:rsidRPr="003D4BBB">
        <w:rPr>
          <w:color w:val="0E101A"/>
        </w:rPr>
        <w:t>.   </w:t>
      </w:r>
    </w:p>
    <w:p w14:paraId="757E5EA1" w14:textId="387DC5A8" w:rsidR="00ED04FB" w:rsidRPr="003D4BBB" w:rsidRDefault="00ED04FB" w:rsidP="00ED04FB">
      <w:pPr>
        <w:pStyle w:val="NormalWeb"/>
        <w:spacing w:before="0" w:after="0" w:line="360" w:lineRule="auto"/>
        <w:ind w:left="720"/>
        <w:jc w:val="both"/>
        <w:rPr>
          <w:color w:val="0E101A"/>
        </w:rPr>
      </w:pPr>
    </w:p>
    <w:p w14:paraId="0C0142A6" w14:textId="5F9F3858" w:rsidR="00ED04FB" w:rsidRPr="00FB57F8" w:rsidRDefault="00ED04FB" w:rsidP="00ED04FB">
      <w:pPr>
        <w:pStyle w:val="Heading1"/>
        <w:spacing w:before="0" w:after="0" w:line="360" w:lineRule="auto"/>
        <w:jc w:val="both"/>
        <w:rPr>
          <w:i/>
          <w:iCs/>
          <w:color w:val="0E101A"/>
        </w:rPr>
      </w:pPr>
      <w:r w:rsidRPr="00FB57F8">
        <w:rPr>
          <w:i/>
          <w:iCs/>
          <w:color w:val="0E101A"/>
        </w:rPr>
        <w:t>Data analysis</w:t>
      </w:r>
    </w:p>
    <w:p w14:paraId="27668D08" w14:textId="451675B6" w:rsidR="00ED04FB" w:rsidRPr="003D4BBB" w:rsidRDefault="000F1A5A" w:rsidP="00ED04FB">
      <w:pPr>
        <w:pStyle w:val="Heading1"/>
        <w:spacing w:before="0" w:after="0" w:line="360" w:lineRule="auto"/>
        <w:jc w:val="both"/>
        <w:rPr>
          <w:b w:val="0"/>
          <w:bCs w:val="0"/>
          <w:color w:val="0E101A"/>
        </w:rPr>
      </w:pPr>
      <w:r>
        <w:rPr>
          <w:b w:val="0"/>
          <w:bCs w:val="0"/>
          <w:color w:val="0E101A"/>
        </w:rPr>
        <w:t>L</w:t>
      </w:r>
      <w:r w:rsidR="00ED04FB" w:rsidRPr="003D4BBB">
        <w:rPr>
          <w:b w:val="0"/>
          <w:bCs w:val="0"/>
          <w:color w:val="0E101A"/>
        </w:rPr>
        <w:t>ogistic regression was employed to quantify the risk of the onset of T2D in terms of dietary and lifestyle habits over the generations, adjusting for potential covariates. The association between generation and the development of T2D was examined</w:t>
      </w:r>
      <w:r>
        <w:rPr>
          <w:b w:val="0"/>
          <w:bCs w:val="0"/>
          <w:color w:val="0E101A"/>
        </w:rPr>
        <w:t>.</w:t>
      </w:r>
      <w:r w:rsidR="008C3582">
        <w:rPr>
          <w:b w:val="0"/>
          <w:bCs w:val="0"/>
          <w:color w:val="0E101A"/>
        </w:rPr>
        <w:t xml:space="preserve"> </w:t>
      </w:r>
      <w:r w:rsidR="00ED04FB" w:rsidRPr="003D4BBB">
        <w:rPr>
          <w:b w:val="0"/>
          <w:bCs w:val="0"/>
          <w:color w:val="0E101A"/>
        </w:rPr>
        <w:t>Four models were used to investigate whether this association was affected by other potential covariates by adding step by step in models as mentioned below. These models will facilitate the identification of the strong confounders</w:t>
      </w:r>
      <w:r>
        <w:rPr>
          <w:b w:val="0"/>
          <w:bCs w:val="0"/>
          <w:color w:val="0E101A"/>
        </w:rPr>
        <w:t>.</w:t>
      </w:r>
      <w:r w:rsidR="008C3582">
        <w:rPr>
          <w:b w:val="0"/>
          <w:bCs w:val="0"/>
          <w:color w:val="0E101A"/>
        </w:rPr>
        <w:t xml:space="preserve"> </w:t>
      </w:r>
      <w:r w:rsidR="00ED04FB" w:rsidRPr="003D4BBB">
        <w:rPr>
          <w:b w:val="0"/>
          <w:bCs w:val="0"/>
          <w:color w:val="0E101A"/>
        </w:rPr>
        <w:t>Dietary elements, such as fruit and vegetable intake</w:t>
      </w:r>
      <w:r w:rsidR="007E7607">
        <w:rPr>
          <w:b w:val="0"/>
          <w:bCs w:val="0"/>
          <w:color w:val="0E101A"/>
        </w:rPr>
        <w:t xml:space="preserve"> were considered separat</w:t>
      </w:r>
      <w:r w:rsidR="00A97F71">
        <w:rPr>
          <w:b w:val="0"/>
          <w:bCs w:val="0"/>
          <w:color w:val="0E101A"/>
        </w:rPr>
        <w:t>e</w:t>
      </w:r>
      <w:r w:rsidR="007E7607">
        <w:rPr>
          <w:b w:val="0"/>
          <w:bCs w:val="0"/>
          <w:color w:val="0E101A"/>
        </w:rPr>
        <w:t>ly</w:t>
      </w:r>
      <w:r w:rsidR="00ED04FB" w:rsidRPr="003D4BBB">
        <w:rPr>
          <w:b w:val="0"/>
          <w:bCs w:val="0"/>
          <w:color w:val="0E101A"/>
        </w:rPr>
        <w:t>, ≤2 servings/day were set as the cut off for low intake level in the current study. The lifestyle habit elements are categorized as walked weekly and not walked weekly, smoker and non-smoker, and alcoholic and non-alcoholic individuals. The four models were:</w:t>
      </w:r>
    </w:p>
    <w:p w14:paraId="04997D07" w14:textId="0BC92406" w:rsidR="008F40FA" w:rsidRPr="003D4BBB" w:rsidRDefault="00533792" w:rsidP="00ED04FB">
      <w:pPr>
        <w:pStyle w:val="Heading1"/>
        <w:numPr>
          <w:ilvl w:val="0"/>
          <w:numId w:val="1"/>
        </w:numPr>
        <w:spacing w:before="0" w:after="0" w:line="360" w:lineRule="auto"/>
        <w:jc w:val="both"/>
        <w:rPr>
          <w:b w:val="0"/>
          <w:bCs w:val="0"/>
          <w:szCs w:val="24"/>
        </w:rPr>
      </w:pPr>
      <w:r w:rsidRPr="003D4BBB">
        <w:rPr>
          <w:b w:val="0"/>
          <w:bCs w:val="0"/>
          <w:szCs w:val="24"/>
        </w:rPr>
        <w:lastRenderedPageBreak/>
        <w:t>model 1</w:t>
      </w:r>
      <w:r w:rsidR="00A97F71">
        <w:rPr>
          <w:b w:val="0"/>
          <w:bCs w:val="0"/>
          <w:szCs w:val="24"/>
        </w:rPr>
        <w:t>:</w:t>
      </w:r>
      <w:r w:rsidR="00A97F71" w:rsidRPr="00A97F71">
        <w:rPr>
          <w:b w:val="0"/>
          <w:bCs w:val="0"/>
          <w:szCs w:val="24"/>
        </w:rPr>
        <w:t xml:space="preserve"> </w:t>
      </w:r>
      <w:r w:rsidR="00A97F71" w:rsidRPr="003D4BBB">
        <w:rPr>
          <w:b w:val="0"/>
          <w:bCs w:val="0"/>
          <w:szCs w:val="24"/>
        </w:rPr>
        <w:t>an unadjusted model,</w:t>
      </w:r>
      <w:r w:rsidRPr="003D4BBB">
        <w:rPr>
          <w:b w:val="0"/>
          <w:bCs w:val="0"/>
          <w:szCs w:val="24"/>
        </w:rPr>
        <w:t xml:space="preserve"> </w:t>
      </w:r>
    </w:p>
    <w:p w14:paraId="27DA5333" w14:textId="339B8864" w:rsidR="008F40FA" w:rsidRPr="003D4BBB" w:rsidRDefault="00533792" w:rsidP="00ED04FB">
      <w:pPr>
        <w:pStyle w:val="Heading1"/>
        <w:numPr>
          <w:ilvl w:val="0"/>
          <w:numId w:val="1"/>
        </w:numPr>
        <w:spacing w:before="0" w:after="0" w:line="360" w:lineRule="auto"/>
        <w:jc w:val="both"/>
        <w:rPr>
          <w:b w:val="0"/>
          <w:bCs w:val="0"/>
          <w:szCs w:val="24"/>
        </w:rPr>
      </w:pPr>
      <w:r w:rsidRPr="003D4BBB">
        <w:rPr>
          <w:b w:val="0"/>
          <w:bCs w:val="0"/>
          <w:szCs w:val="24"/>
        </w:rPr>
        <w:t xml:space="preserve">model 2: adjusted for gender, urban/rural, country of </w:t>
      </w:r>
      <w:r w:rsidR="008F40FA" w:rsidRPr="003D4BBB">
        <w:rPr>
          <w:b w:val="0"/>
          <w:bCs w:val="0"/>
          <w:szCs w:val="24"/>
        </w:rPr>
        <w:t>residence,</w:t>
      </w:r>
    </w:p>
    <w:p w14:paraId="6C02D8C7" w14:textId="1337A434" w:rsidR="008F40FA" w:rsidRPr="003D4BBB" w:rsidRDefault="00533792" w:rsidP="00ED04FB">
      <w:pPr>
        <w:pStyle w:val="Heading1"/>
        <w:numPr>
          <w:ilvl w:val="0"/>
          <w:numId w:val="1"/>
        </w:numPr>
        <w:spacing w:before="0" w:after="0" w:line="360" w:lineRule="auto"/>
        <w:jc w:val="both"/>
        <w:rPr>
          <w:b w:val="0"/>
          <w:bCs w:val="0"/>
          <w:szCs w:val="24"/>
        </w:rPr>
      </w:pPr>
      <w:r w:rsidRPr="003D4BBB">
        <w:rPr>
          <w:b w:val="0"/>
          <w:bCs w:val="0"/>
          <w:szCs w:val="24"/>
        </w:rPr>
        <w:t>model 3: adjusted for gender, urban/rural, country of residence, and sleep quality; and</w:t>
      </w:r>
    </w:p>
    <w:p w14:paraId="620163AF" w14:textId="0F3881A0" w:rsidR="008F40FA" w:rsidRPr="003D4BBB" w:rsidRDefault="008F40FA" w:rsidP="00ED04FB">
      <w:pPr>
        <w:pStyle w:val="Heading1"/>
        <w:numPr>
          <w:ilvl w:val="0"/>
          <w:numId w:val="1"/>
        </w:numPr>
        <w:spacing w:before="0" w:after="0" w:line="360" w:lineRule="auto"/>
        <w:jc w:val="both"/>
        <w:rPr>
          <w:b w:val="0"/>
          <w:bCs w:val="0"/>
          <w:szCs w:val="24"/>
        </w:rPr>
      </w:pPr>
      <w:r w:rsidRPr="003D4BBB">
        <w:rPr>
          <w:b w:val="0"/>
          <w:bCs w:val="0"/>
          <w:szCs w:val="24"/>
        </w:rPr>
        <w:t>model 4: adjusted for gender, urban/rural, country of residence, sleep quality, high blood pressure and long-standing illness.</w:t>
      </w:r>
    </w:p>
    <w:p w14:paraId="3A071FDD" w14:textId="11000FB0" w:rsidR="00ED04FB" w:rsidRPr="003D4BBB" w:rsidRDefault="00ED04FB" w:rsidP="00ED04FB">
      <w:pPr>
        <w:pStyle w:val="Heading1"/>
        <w:spacing w:before="0" w:after="0" w:line="360" w:lineRule="auto"/>
        <w:jc w:val="both"/>
        <w:rPr>
          <w:b w:val="0"/>
          <w:bCs w:val="0"/>
          <w:color w:val="0E101A"/>
          <w:sz w:val="48"/>
        </w:rPr>
      </w:pPr>
      <w:r w:rsidRPr="003D4BBB">
        <w:rPr>
          <w:b w:val="0"/>
          <w:bCs w:val="0"/>
          <w:color w:val="0E101A"/>
        </w:rPr>
        <w:t xml:space="preserve">The study selected a reference group of individuals to compare the results. The reference group consists of the individuals (2nd+ generation) who had the lowest level of risk in developing T2D, and the other groups are compared with that reference group </w:t>
      </w:r>
      <w:r w:rsidR="00E94D6C">
        <w:rPr>
          <w:b w:val="0"/>
          <w:bCs w:val="0"/>
          <w:color w:val="0E101A"/>
        </w:rPr>
        <w:fldChar w:fldCharType="begin" w:fldLock="1"/>
      </w:r>
      <w:r w:rsidR="00E94D6C">
        <w:rPr>
          <w:b w:val="0"/>
          <w:bCs w:val="0"/>
          <w:color w:val="0E101A"/>
        </w:rPr>
        <w:instrText>ADDIN CSL_CITATION {"citationItems":[{"id":"ITEM-1","itemData":{"DOI":"10.1016/j.jada.2009.07.011","ISSN":"00028223","abstract":"The use of epidemiologic research designs and analytical methods is common in dietetics research. Food and nutrition professionals who seek to perform evidence-based practice or participate in research design, analysis, and communication need skills in the essentials of epidemiology. This is one of a series of monographs on research methodology that addresses these needs and supports the goals of the Board of Editors of the Journal of the American Dietetic Association to further enhance competency and skills. This monograph focuses on statistical approaches for univariate analyses used with the primary observational study designs associated with epidemiology. Tables illustrating the presentation and interpretation of these results are included. © 2009 American Dietetic Association.","author":[{"dropping-particle":"","family":"Bruemmer","given":"Barbara","non-dropping-particle":"","parse-names":false,"suffix":""},{"dropping-particle":"","family":"Harris","given":"Jeffrey","non-dropping-particle":"","parse-names":false,"suffix":""},{"dropping-particle":"","family":"Gleason","given":"Phil","non-dropping-particle":"","parse-names":false,"suffix":""},{"dropping-particle":"","family":"Boushey","given":"Carol J.","non-dropping-particle":"","parse-names":false,"suffix":""},{"dropping-particle":"","family":"Sheean","given":"Patricia M.","non-dropping-particle":"","parse-names":false,"suffix":""},{"dropping-particle":"","family":"Archer","given":"Sujata","non-dropping-particle":"","parse-names":false,"suffix":""},{"dropping-particle":"","family":"Horn","given":"Linda","non-dropping-particle":"Van","parse-names":false,"suffix":""}],"container-title":"Journal of the American Dietetic Association","id":"ITEM-1","issue":"10","issued":{"date-parts":[["2009"]]},"page":"1728-1737","publisher":"Elsevier Inc.","title":"Publishing Nutrition Research: A Review of Epidemiologic Methods","type":"article-journal","volume":"109"},"uris":["http://www.mendeley.com/documents/?uuid=e45a8ea0-e0bc-4e3b-8827-57bad598949f"]}],"mendeley":{"formattedCitation":"(Bruemmer &lt;i&gt;et al.&lt;/i&gt;, 2009)","manualFormatting":"(Bruemmer B, Harris J, Gleason P, et al., 2009)","plainTextFormattedCitation":"(Bruemmer et al., 2009)","previouslyFormattedCitation":"(Bruemmer &lt;i&gt;et al.&lt;/i&gt;, 2009)"},"properties":{"noteIndex":0},"schema":"https://github.com/citation-style-language/schema/raw/master/csl-citation.json"}</w:instrText>
      </w:r>
      <w:r w:rsidR="00E94D6C">
        <w:rPr>
          <w:b w:val="0"/>
          <w:bCs w:val="0"/>
          <w:color w:val="0E101A"/>
        </w:rPr>
        <w:fldChar w:fldCharType="separate"/>
      </w:r>
      <w:r w:rsidR="00E94D6C" w:rsidRPr="00E94D6C">
        <w:rPr>
          <w:b w:val="0"/>
          <w:bCs w:val="0"/>
          <w:noProof/>
          <w:color w:val="0E101A"/>
        </w:rPr>
        <w:t>(Bruemmer</w:t>
      </w:r>
      <w:r w:rsidR="00E94D6C">
        <w:rPr>
          <w:b w:val="0"/>
          <w:bCs w:val="0"/>
          <w:noProof/>
          <w:color w:val="0E101A"/>
        </w:rPr>
        <w:t xml:space="preserve"> </w:t>
      </w:r>
      <w:r w:rsidR="00E94D6C" w:rsidRPr="00E94D6C">
        <w:rPr>
          <w:b w:val="0"/>
          <w:bCs w:val="0"/>
          <w:i/>
          <w:noProof/>
          <w:color w:val="0E101A"/>
        </w:rPr>
        <w:t>et al.</w:t>
      </w:r>
      <w:r w:rsidR="00E94D6C" w:rsidRPr="00E94D6C">
        <w:rPr>
          <w:b w:val="0"/>
          <w:bCs w:val="0"/>
          <w:noProof/>
          <w:color w:val="0E101A"/>
        </w:rPr>
        <w:t>, 2009)</w:t>
      </w:r>
      <w:r w:rsidR="00E94D6C">
        <w:rPr>
          <w:b w:val="0"/>
          <w:bCs w:val="0"/>
          <w:color w:val="0E101A"/>
        </w:rPr>
        <w:fldChar w:fldCharType="end"/>
      </w:r>
      <w:r w:rsidRPr="003D4BBB">
        <w:rPr>
          <w:b w:val="0"/>
          <w:bCs w:val="0"/>
          <w:color w:val="0E101A"/>
        </w:rPr>
        <w:t xml:space="preserve">. To keep all the studied independent variables free from multicollinearity variance inflation factor (VIF) was calculated and found less than 5.0. Thus, these VIF values indicated no multicollinearity among the explanatory variables and satisfied the necessary condition for using binary logistic regression </w:t>
      </w:r>
      <w:r w:rsidR="00E94D6C">
        <w:rPr>
          <w:b w:val="0"/>
          <w:bCs w:val="0"/>
          <w:color w:val="0E101A"/>
        </w:rPr>
        <w:fldChar w:fldCharType="begin" w:fldLock="1"/>
      </w:r>
      <w:r w:rsidR="001735BA">
        <w:rPr>
          <w:b w:val="0"/>
          <w:bCs w:val="0"/>
          <w:color w:val="0E101A"/>
        </w:rPr>
        <w:instrText>ADDIN CSL_CITATION {"citationItems":[{"id":"ITEM-1","itemData":{"author":[{"dropping-particle":"","family":"Chatterjee","given":"S","non-dropping-particle":"","parse-names":false,"suffix":""},{"dropping-particle":"","family":"Hadi","given":"A S","non-dropping-particle":"","parse-names":false,"suffix":""}],"edition":"4th","id":"ITEM-1","issued":{"date-parts":[["2006"]]},"publisher":"John Wiley and Sons, Inc.","title":"Regression Analysis","type":"book"},"uris":["http://www.mendeley.com/documents/?uuid=05749e61-7051-47cb-9df2-1a3b8cdf0fc3"]}],"mendeley":{"formattedCitation":"(Chatterjee and Hadi, 2006)","plainTextFormattedCitation":"(Chatterjee and Hadi, 2006)","previouslyFormattedCitation":"(Chatterjee and Hadi, 2006)"},"properties":{"noteIndex":0},"schema":"https://github.com/citation-style-language/schema/raw/master/csl-citation.json"}</w:instrText>
      </w:r>
      <w:r w:rsidR="00E94D6C">
        <w:rPr>
          <w:b w:val="0"/>
          <w:bCs w:val="0"/>
          <w:color w:val="0E101A"/>
        </w:rPr>
        <w:fldChar w:fldCharType="separate"/>
      </w:r>
      <w:r w:rsidR="00E94D6C" w:rsidRPr="00E94D6C">
        <w:rPr>
          <w:b w:val="0"/>
          <w:bCs w:val="0"/>
          <w:noProof/>
          <w:color w:val="0E101A"/>
        </w:rPr>
        <w:t>(Chatterjee and Hadi, 2006)</w:t>
      </w:r>
      <w:r w:rsidR="00E94D6C">
        <w:rPr>
          <w:b w:val="0"/>
          <w:bCs w:val="0"/>
          <w:color w:val="0E101A"/>
        </w:rPr>
        <w:fldChar w:fldCharType="end"/>
      </w:r>
      <w:r w:rsidRPr="003D4BBB">
        <w:rPr>
          <w:b w:val="0"/>
          <w:bCs w:val="0"/>
          <w:color w:val="0E101A"/>
        </w:rPr>
        <w:t>.</w:t>
      </w:r>
    </w:p>
    <w:p w14:paraId="3E5E3D86" w14:textId="77777777" w:rsidR="00ED04FB" w:rsidRPr="003D4BBB" w:rsidRDefault="00ED04FB" w:rsidP="00ED04FB">
      <w:pPr>
        <w:pStyle w:val="Heading1"/>
        <w:spacing w:before="0" w:after="0" w:line="360" w:lineRule="auto"/>
        <w:jc w:val="both"/>
        <w:rPr>
          <w:b w:val="0"/>
          <w:bCs w:val="0"/>
          <w:color w:val="0E101A"/>
        </w:rPr>
      </w:pPr>
      <w:r w:rsidRPr="003D4BBB">
        <w:rPr>
          <w:b w:val="0"/>
          <w:bCs w:val="0"/>
          <w:color w:val="0E101A"/>
        </w:rPr>
        <w:t> </w:t>
      </w:r>
    </w:p>
    <w:p w14:paraId="406B0829" w14:textId="3C2F12E5" w:rsidR="00ED04FB" w:rsidRPr="003D4BBB" w:rsidRDefault="00ED04FB" w:rsidP="00ED04FB">
      <w:pPr>
        <w:pStyle w:val="NormalWeb"/>
        <w:spacing w:before="0" w:after="0" w:line="360" w:lineRule="auto"/>
        <w:jc w:val="both"/>
        <w:rPr>
          <w:color w:val="0E101A"/>
        </w:rPr>
      </w:pPr>
      <w:r w:rsidRPr="003D4BBB">
        <w:rPr>
          <w:rStyle w:val="Strong"/>
          <w:color w:val="0E101A"/>
        </w:rPr>
        <w:t>Results</w:t>
      </w:r>
    </w:p>
    <w:p w14:paraId="6524D580" w14:textId="77777777" w:rsidR="00ED04FB" w:rsidRPr="003D4BBB" w:rsidRDefault="00ED04FB" w:rsidP="00ED04FB">
      <w:pPr>
        <w:pStyle w:val="NormalWeb"/>
        <w:spacing w:before="0" w:after="0" w:line="360" w:lineRule="auto"/>
        <w:jc w:val="both"/>
        <w:rPr>
          <w:color w:val="0E101A"/>
        </w:rPr>
      </w:pPr>
      <w:r w:rsidRPr="003D4BBB">
        <w:rPr>
          <w:rStyle w:val="Emphasis"/>
          <w:b/>
          <w:bCs/>
          <w:color w:val="0E101A"/>
        </w:rPr>
        <w:t>Association between generation and the development of T2D in terms of dietary and lifestyle habits </w:t>
      </w:r>
    </w:p>
    <w:p w14:paraId="511F69B7" w14:textId="77777777" w:rsidR="00ED04FB" w:rsidRPr="003D4BBB" w:rsidRDefault="00ED04FB" w:rsidP="00ED04FB">
      <w:pPr>
        <w:pStyle w:val="NormalWeb"/>
        <w:spacing w:before="0" w:after="0" w:line="360" w:lineRule="auto"/>
        <w:jc w:val="both"/>
        <w:rPr>
          <w:color w:val="0E101A"/>
        </w:rPr>
      </w:pPr>
      <w:r w:rsidRPr="003D4BBB">
        <w:rPr>
          <w:color w:val="0E101A"/>
        </w:rPr>
        <w:t>Results indicate that a significantly higher risk of developing T2D in 1st generation than the 2nd generation respondents in those who intake two or fewer servings/d of vegetable (unadjusted model 1: OR 2</w:t>
      </w:r>
      <w:r w:rsidRPr="003D4BBB">
        <w:rPr>
          <w:rFonts w:ascii="Cambria Math" w:hAnsi="Cambria Math" w:cs="Cambria Math"/>
          <w:color w:val="0E101A"/>
        </w:rPr>
        <w:t>⋅</w:t>
      </w:r>
      <w:r w:rsidRPr="003D4BBB">
        <w:rPr>
          <w:color w:val="0E101A"/>
        </w:rPr>
        <w:t>50; 95 % CI 1</w:t>
      </w:r>
      <w:r w:rsidRPr="003D4BBB">
        <w:rPr>
          <w:rFonts w:ascii="Cambria Math" w:hAnsi="Cambria Math" w:cs="Cambria Math"/>
          <w:color w:val="0E101A"/>
        </w:rPr>
        <w:t>⋅</w:t>
      </w:r>
      <w:r w:rsidRPr="003D4BBB">
        <w:rPr>
          <w:color w:val="0E101A"/>
        </w:rPr>
        <w:t>38, 4</w:t>
      </w:r>
      <w:r w:rsidRPr="003D4BBB">
        <w:rPr>
          <w:rFonts w:ascii="Cambria Math" w:hAnsi="Cambria Math" w:cs="Cambria Math"/>
          <w:color w:val="0E101A"/>
        </w:rPr>
        <w:t>⋅</w:t>
      </w:r>
      <w:r w:rsidRPr="003D4BBB">
        <w:rPr>
          <w:color w:val="0E101A"/>
        </w:rPr>
        <w:t xml:space="preserve">54), </w:t>
      </w:r>
      <w:proofErr w:type="gramStart"/>
      <w:r w:rsidRPr="003D4BBB">
        <w:rPr>
          <w:color w:val="0E101A"/>
        </w:rPr>
        <w:t>and also</w:t>
      </w:r>
      <w:proofErr w:type="gramEnd"/>
      <w:r w:rsidRPr="003D4BBB">
        <w:rPr>
          <w:color w:val="0E101A"/>
        </w:rPr>
        <w:t xml:space="preserve"> in those who intake more than two servings/d of vegetable (unadjusted model 1: OR 3</w:t>
      </w:r>
      <w:r w:rsidRPr="003D4BBB">
        <w:rPr>
          <w:rFonts w:ascii="Cambria Math" w:hAnsi="Cambria Math" w:cs="Cambria Math"/>
          <w:color w:val="0E101A"/>
        </w:rPr>
        <w:t>⋅</w:t>
      </w:r>
      <w:r w:rsidRPr="003D4BBB">
        <w:rPr>
          <w:color w:val="0E101A"/>
        </w:rPr>
        <w:t>41; 95 % CI 1</w:t>
      </w:r>
      <w:r w:rsidRPr="003D4BBB">
        <w:rPr>
          <w:rFonts w:ascii="Cambria Math" w:hAnsi="Cambria Math" w:cs="Cambria Math"/>
          <w:color w:val="0E101A"/>
        </w:rPr>
        <w:t>⋅</w:t>
      </w:r>
      <w:r w:rsidRPr="003D4BBB">
        <w:rPr>
          <w:color w:val="0E101A"/>
        </w:rPr>
        <w:t>18, 9</w:t>
      </w:r>
      <w:r w:rsidRPr="003D4BBB">
        <w:rPr>
          <w:rFonts w:ascii="Cambria Math" w:hAnsi="Cambria Math" w:cs="Cambria Math"/>
          <w:color w:val="0E101A"/>
        </w:rPr>
        <w:t>⋅</w:t>
      </w:r>
      <w:r w:rsidRPr="003D4BBB">
        <w:rPr>
          <w:color w:val="0E101A"/>
        </w:rPr>
        <w:t>84). However, these ORs revealed that first-generation respondents who intake more vegetables had higher odds than those who intake less. Moreover, this association remained significant even after the adjustment for gender, urban/rural, country of residence in model 2 (OR 2</w:t>
      </w:r>
      <w:r w:rsidRPr="003D4BBB">
        <w:rPr>
          <w:rFonts w:ascii="Cambria Math" w:hAnsi="Cambria Math" w:cs="Cambria Math"/>
          <w:color w:val="0E101A"/>
        </w:rPr>
        <w:t>⋅</w:t>
      </w:r>
      <w:r w:rsidRPr="003D4BBB">
        <w:rPr>
          <w:color w:val="0E101A"/>
        </w:rPr>
        <w:t>48; 95 % CI 1</w:t>
      </w:r>
      <w:r w:rsidRPr="003D4BBB">
        <w:rPr>
          <w:rFonts w:ascii="Cambria Math" w:hAnsi="Cambria Math" w:cs="Cambria Math"/>
          <w:color w:val="0E101A"/>
        </w:rPr>
        <w:t>⋅</w:t>
      </w:r>
      <w:r w:rsidRPr="003D4BBB">
        <w:rPr>
          <w:color w:val="0E101A"/>
        </w:rPr>
        <w:t>36, 4</w:t>
      </w:r>
      <w:r w:rsidRPr="003D4BBB">
        <w:rPr>
          <w:rFonts w:ascii="Cambria Math" w:hAnsi="Cambria Math" w:cs="Cambria Math"/>
          <w:color w:val="0E101A"/>
        </w:rPr>
        <w:t>⋅</w:t>
      </w:r>
      <w:r w:rsidRPr="003D4BBB">
        <w:rPr>
          <w:color w:val="0E101A"/>
        </w:rPr>
        <w:t>51 for veg≤2 servings/day vs OR 3</w:t>
      </w:r>
      <w:r w:rsidRPr="003D4BBB">
        <w:rPr>
          <w:rFonts w:ascii="Cambria Math" w:hAnsi="Cambria Math" w:cs="Cambria Math"/>
          <w:color w:val="0E101A"/>
        </w:rPr>
        <w:t>⋅</w:t>
      </w:r>
      <w:r w:rsidRPr="003D4BBB">
        <w:rPr>
          <w:color w:val="0E101A"/>
        </w:rPr>
        <w:t>45; 95 % CI 1</w:t>
      </w:r>
      <w:r w:rsidRPr="003D4BBB">
        <w:rPr>
          <w:rFonts w:ascii="Cambria Math" w:hAnsi="Cambria Math" w:cs="Cambria Math"/>
          <w:color w:val="0E101A"/>
        </w:rPr>
        <w:t>⋅</w:t>
      </w:r>
      <w:r w:rsidRPr="003D4BBB">
        <w:rPr>
          <w:color w:val="0E101A"/>
        </w:rPr>
        <w:t>20, 9</w:t>
      </w:r>
      <w:r w:rsidRPr="003D4BBB">
        <w:rPr>
          <w:rFonts w:ascii="Cambria Math" w:hAnsi="Cambria Math" w:cs="Cambria Math"/>
          <w:color w:val="0E101A"/>
        </w:rPr>
        <w:t>⋅</w:t>
      </w:r>
      <w:r w:rsidRPr="003D4BBB">
        <w:rPr>
          <w:color w:val="0E101A"/>
        </w:rPr>
        <w:t>97 for veg&gt;2 servings/day). The subsequent model 3- adjusted for gender, urban/rural, country of residence, and sleep quality (OR 2</w:t>
      </w:r>
      <w:r w:rsidRPr="003D4BBB">
        <w:rPr>
          <w:rFonts w:ascii="Cambria Math" w:hAnsi="Cambria Math" w:cs="Cambria Math"/>
          <w:color w:val="0E101A"/>
        </w:rPr>
        <w:t>⋅</w:t>
      </w:r>
      <w:r w:rsidRPr="003D4BBB">
        <w:rPr>
          <w:color w:val="0E101A"/>
        </w:rPr>
        <w:t>62; 95 % CI 1</w:t>
      </w:r>
      <w:r w:rsidRPr="003D4BBB">
        <w:rPr>
          <w:rFonts w:ascii="Cambria Math" w:hAnsi="Cambria Math" w:cs="Cambria Math"/>
          <w:color w:val="0E101A"/>
        </w:rPr>
        <w:t>⋅</w:t>
      </w:r>
      <w:r w:rsidRPr="003D4BBB">
        <w:rPr>
          <w:color w:val="0E101A"/>
        </w:rPr>
        <w:t>44, 4</w:t>
      </w:r>
      <w:r w:rsidRPr="003D4BBB">
        <w:rPr>
          <w:rFonts w:ascii="Cambria Math" w:hAnsi="Cambria Math" w:cs="Cambria Math"/>
          <w:color w:val="0E101A"/>
        </w:rPr>
        <w:t>⋅</w:t>
      </w:r>
      <w:r w:rsidRPr="003D4BBB">
        <w:rPr>
          <w:color w:val="0E101A"/>
        </w:rPr>
        <w:t>79 for veg≤2 servings/day vs OR 3</w:t>
      </w:r>
      <w:r w:rsidRPr="003D4BBB">
        <w:rPr>
          <w:rFonts w:ascii="Cambria Math" w:hAnsi="Cambria Math" w:cs="Cambria Math"/>
          <w:color w:val="0E101A"/>
        </w:rPr>
        <w:t>⋅</w:t>
      </w:r>
      <w:r w:rsidRPr="003D4BBB">
        <w:rPr>
          <w:color w:val="0E101A"/>
        </w:rPr>
        <w:t>60; 95 % CI 1</w:t>
      </w:r>
      <w:r w:rsidRPr="003D4BBB">
        <w:rPr>
          <w:rFonts w:ascii="Cambria Math" w:hAnsi="Cambria Math" w:cs="Cambria Math"/>
          <w:color w:val="0E101A"/>
        </w:rPr>
        <w:t>⋅</w:t>
      </w:r>
      <w:r w:rsidRPr="003D4BBB">
        <w:rPr>
          <w:color w:val="0E101A"/>
        </w:rPr>
        <w:t>24, 10</w:t>
      </w:r>
      <w:r w:rsidRPr="003D4BBB">
        <w:rPr>
          <w:rFonts w:ascii="Cambria Math" w:hAnsi="Cambria Math" w:cs="Cambria Math"/>
          <w:color w:val="0E101A"/>
        </w:rPr>
        <w:t>⋅</w:t>
      </w:r>
      <w:r w:rsidRPr="003D4BBB">
        <w:rPr>
          <w:color w:val="0E101A"/>
        </w:rPr>
        <w:t>47 for veg&gt;2 servings/day) has remained significant. The fully adjusted model 4, which is adjusted for gender, urban/rural, country of residence, sleep quality, high blood pressure and long-standing illness, (OR 2</w:t>
      </w:r>
      <w:r w:rsidRPr="003D4BBB">
        <w:rPr>
          <w:rFonts w:ascii="Cambria Math" w:hAnsi="Cambria Math" w:cs="Cambria Math"/>
          <w:color w:val="0E101A"/>
        </w:rPr>
        <w:t>⋅</w:t>
      </w:r>
      <w:r w:rsidRPr="003D4BBB">
        <w:rPr>
          <w:color w:val="0E101A"/>
        </w:rPr>
        <w:t>32; 95 % CI 1</w:t>
      </w:r>
      <w:r w:rsidRPr="003D4BBB">
        <w:rPr>
          <w:rFonts w:ascii="Cambria Math" w:hAnsi="Cambria Math" w:cs="Cambria Math"/>
          <w:color w:val="0E101A"/>
        </w:rPr>
        <w:t>⋅</w:t>
      </w:r>
      <w:r w:rsidRPr="003D4BBB">
        <w:rPr>
          <w:color w:val="0E101A"/>
        </w:rPr>
        <w:t>27, 4</w:t>
      </w:r>
      <w:r w:rsidRPr="003D4BBB">
        <w:rPr>
          <w:rFonts w:ascii="Cambria Math" w:hAnsi="Cambria Math" w:cs="Cambria Math"/>
          <w:color w:val="0E101A"/>
        </w:rPr>
        <w:t>⋅</w:t>
      </w:r>
      <w:r w:rsidRPr="003D4BBB">
        <w:rPr>
          <w:color w:val="0E101A"/>
        </w:rPr>
        <w:t>25 for veg≤2 servings/day vs OR 3</w:t>
      </w:r>
      <w:r w:rsidRPr="003D4BBB">
        <w:rPr>
          <w:rFonts w:ascii="Cambria Math" w:hAnsi="Cambria Math" w:cs="Cambria Math"/>
          <w:color w:val="0E101A"/>
        </w:rPr>
        <w:t>⋅</w:t>
      </w:r>
      <w:r w:rsidRPr="003D4BBB">
        <w:rPr>
          <w:color w:val="0E101A"/>
        </w:rPr>
        <w:t>59; 95 % CI 1</w:t>
      </w:r>
      <w:r w:rsidRPr="003D4BBB">
        <w:rPr>
          <w:rFonts w:ascii="Cambria Math" w:hAnsi="Cambria Math" w:cs="Cambria Math"/>
          <w:color w:val="0E101A"/>
        </w:rPr>
        <w:t>⋅</w:t>
      </w:r>
      <w:r w:rsidRPr="003D4BBB">
        <w:rPr>
          <w:color w:val="0E101A"/>
        </w:rPr>
        <w:t>23, 10</w:t>
      </w:r>
      <w:r w:rsidRPr="003D4BBB">
        <w:rPr>
          <w:rFonts w:ascii="Cambria Math" w:hAnsi="Cambria Math" w:cs="Cambria Math"/>
          <w:color w:val="0E101A"/>
        </w:rPr>
        <w:t>⋅</w:t>
      </w:r>
      <w:r w:rsidRPr="003D4BBB">
        <w:rPr>
          <w:color w:val="0E101A"/>
        </w:rPr>
        <w:t>48 for veg&gt;2 servings/day) has also remained significant. Thus, it is clear from the above results that first-generation respondents were more likely to develop T2D than the 2nd+ generations in terms of vegetable consumption.</w:t>
      </w:r>
    </w:p>
    <w:p w14:paraId="3D275FA2" w14:textId="77777777" w:rsidR="00ED04FB" w:rsidRPr="003D4BBB" w:rsidRDefault="00ED04FB" w:rsidP="00ED04FB">
      <w:pPr>
        <w:pStyle w:val="NormalWeb"/>
        <w:spacing w:before="0" w:after="0" w:line="360" w:lineRule="auto"/>
        <w:jc w:val="both"/>
        <w:rPr>
          <w:color w:val="0E101A"/>
        </w:rPr>
      </w:pPr>
      <w:r w:rsidRPr="003D4BBB">
        <w:rPr>
          <w:color w:val="0E101A"/>
        </w:rPr>
        <w:lastRenderedPageBreak/>
        <w:t>Similarly, in the case of fruits consumption, the unadjusted model revealed that the effect of generation, which means higher risk in 1st generation than the 2nd generation, on T2D development was more pronounced in respondents who intake more than two servings/d of fruits (unadjusted model 1: OR 5</w:t>
      </w:r>
      <w:r w:rsidRPr="003D4BBB">
        <w:rPr>
          <w:rFonts w:ascii="Cambria Math" w:hAnsi="Cambria Math" w:cs="Cambria Math"/>
          <w:color w:val="0E101A"/>
        </w:rPr>
        <w:t>⋅</w:t>
      </w:r>
      <w:r w:rsidRPr="003D4BBB">
        <w:rPr>
          <w:color w:val="0E101A"/>
        </w:rPr>
        <w:t>46; 95 % CI 1</w:t>
      </w:r>
      <w:r w:rsidRPr="003D4BBB">
        <w:rPr>
          <w:rFonts w:ascii="Cambria Math" w:hAnsi="Cambria Math" w:cs="Cambria Math"/>
          <w:color w:val="0E101A"/>
        </w:rPr>
        <w:t>⋅</w:t>
      </w:r>
      <w:r w:rsidRPr="003D4BBB">
        <w:rPr>
          <w:color w:val="0E101A"/>
        </w:rPr>
        <w:t>66, 17</w:t>
      </w:r>
      <w:r w:rsidRPr="003D4BBB">
        <w:rPr>
          <w:rFonts w:ascii="Cambria Math" w:hAnsi="Cambria Math" w:cs="Cambria Math"/>
          <w:color w:val="0E101A"/>
        </w:rPr>
        <w:t>⋅</w:t>
      </w:r>
      <w:r w:rsidRPr="003D4BBB">
        <w:rPr>
          <w:color w:val="0E101A"/>
        </w:rPr>
        <w:t>91) compared to 2 or less servings/d of fruits (unadjusted: OR 2</w:t>
      </w:r>
      <w:r w:rsidRPr="003D4BBB">
        <w:rPr>
          <w:rFonts w:ascii="Cambria Math" w:hAnsi="Cambria Math" w:cs="Cambria Math"/>
          <w:color w:val="0E101A"/>
        </w:rPr>
        <w:t>⋅</w:t>
      </w:r>
      <w:r w:rsidRPr="003D4BBB">
        <w:rPr>
          <w:color w:val="0E101A"/>
        </w:rPr>
        <w:t>22; 95 % CI 1</w:t>
      </w:r>
      <w:r w:rsidRPr="003D4BBB">
        <w:rPr>
          <w:rFonts w:ascii="Cambria Math" w:hAnsi="Cambria Math" w:cs="Cambria Math"/>
          <w:color w:val="0E101A"/>
        </w:rPr>
        <w:t>⋅</w:t>
      </w:r>
      <w:r w:rsidRPr="003D4BBB">
        <w:rPr>
          <w:color w:val="0E101A"/>
        </w:rPr>
        <w:t>22, 4</w:t>
      </w:r>
      <w:r w:rsidRPr="003D4BBB">
        <w:rPr>
          <w:rFonts w:ascii="Cambria Math" w:hAnsi="Cambria Math" w:cs="Cambria Math"/>
          <w:color w:val="0E101A"/>
        </w:rPr>
        <w:t>⋅</w:t>
      </w:r>
      <w:r w:rsidRPr="003D4BBB">
        <w:rPr>
          <w:color w:val="0E101A"/>
        </w:rPr>
        <w:t>07) consumption. This association remained significant even after the adjustment for gender, urban/rural, country of residence in model 2 (OR 2</w:t>
      </w:r>
      <w:r w:rsidRPr="003D4BBB">
        <w:rPr>
          <w:rFonts w:ascii="Cambria Math" w:hAnsi="Cambria Math" w:cs="Cambria Math"/>
          <w:color w:val="0E101A"/>
        </w:rPr>
        <w:t>⋅</w:t>
      </w:r>
      <w:r w:rsidRPr="003D4BBB">
        <w:rPr>
          <w:color w:val="0E101A"/>
        </w:rPr>
        <w:t>20; 95 % CI 1</w:t>
      </w:r>
      <w:r w:rsidRPr="003D4BBB">
        <w:rPr>
          <w:rFonts w:ascii="Cambria Math" w:hAnsi="Cambria Math" w:cs="Cambria Math"/>
          <w:color w:val="0E101A"/>
        </w:rPr>
        <w:t>⋅</w:t>
      </w:r>
      <w:r w:rsidRPr="003D4BBB">
        <w:rPr>
          <w:color w:val="0E101A"/>
        </w:rPr>
        <w:t>20, 4</w:t>
      </w:r>
      <w:r w:rsidRPr="003D4BBB">
        <w:rPr>
          <w:rFonts w:ascii="Cambria Math" w:hAnsi="Cambria Math" w:cs="Cambria Math"/>
          <w:color w:val="0E101A"/>
        </w:rPr>
        <w:t>⋅</w:t>
      </w:r>
      <w:r w:rsidRPr="003D4BBB">
        <w:rPr>
          <w:color w:val="0E101A"/>
        </w:rPr>
        <w:t>02 for veg≤2 servings/day vs OR 5</w:t>
      </w:r>
      <w:r w:rsidRPr="003D4BBB">
        <w:rPr>
          <w:rFonts w:ascii="Cambria Math" w:hAnsi="Cambria Math" w:cs="Cambria Math"/>
          <w:color w:val="0E101A"/>
        </w:rPr>
        <w:t>⋅</w:t>
      </w:r>
      <w:r w:rsidRPr="003D4BBB">
        <w:rPr>
          <w:color w:val="0E101A"/>
        </w:rPr>
        <w:t>42; 95 % CI 1</w:t>
      </w:r>
      <w:r w:rsidRPr="003D4BBB">
        <w:rPr>
          <w:rFonts w:ascii="Cambria Math" w:hAnsi="Cambria Math" w:cs="Cambria Math"/>
          <w:color w:val="0E101A"/>
        </w:rPr>
        <w:t>⋅</w:t>
      </w:r>
      <w:r w:rsidRPr="003D4BBB">
        <w:rPr>
          <w:color w:val="0E101A"/>
        </w:rPr>
        <w:t>65, 17</w:t>
      </w:r>
      <w:r w:rsidRPr="003D4BBB">
        <w:rPr>
          <w:rFonts w:ascii="Cambria Math" w:hAnsi="Cambria Math" w:cs="Cambria Math"/>
          <w:color w:val="0E101A"/>
        </w:rPr>
        <w:t>⋅</w:t>
      </w:r>
      <w:r w:rsidRPr="003D4BBB">
        <w:rPr>
          <w:color w:val="0E101A"/>
        </w:rPr>
        <w:t>80 for veg&gt;2 servings/day). Similarly, model 3 adjusted for gender, urban/rural, country of residence, and sleep quality (OR 2</w:t>
      </w:r>
      <w:r w:rsidRPr="003D4BBB">
        <w:rPr>
          <w:rFonts w:ascii="Cambria Math" w:hAnsi="Cambria Math" w:cs="Cambria Math"/>
          <w:color w:val="0E101A"/>
        </w:rPr>
        <w:t>⋅</w:t>
      </w:r>
      <w:r w:rsidRPr="003D4BBB">
        <w:rPr>
          <w:color w:val="0E101A"/>
        </w:rPr>
        <w:t>32; 95 % CI 1</w:t>
      </w:r>
      <w:r w:rsidRPr="003D4BBB">
        <w:rPr>
          <w:rFonts w:ascii="Cambria Math" w:hAnsi="Cambria Math" w:cs="Cambria Math"/>
          <w:color w:val="0E101A"/>
        </w:rPr>
        <w:t>⋅</w:t>
      </w:r>
      <w:r w:rsidRPr="003D4BBB">
        <w:rPr>
          <w:color w:val="0E101A"/>
        </w:rPr>
        <w:t>27, 4</w:t>
      </w:r>
      <w:r w:rsidRPr="003D4BBB">
        <w:rPr>
          <w:rFonts w:ascii="Cambria Math" w:hAnsi="Cambria Math" w:cs="Cambria Math"/>
          <w:color w:val="0E101A"/>
        </w:rPr>
        <w:t>⋅</w:t>
      </w:r>
      <w:r w:rsidRPr="003D4BBB">
        <w:rPr>
          <w:color w:val="0E101A"/>
        </w:rPr>
        <w:t>26 for veg≤2 servings/day vs OR 5</w:t>
      </w:r>
      <w:r w:rsidRPr="003D4BBB">
        <w:rPr>
          <w:rFonts w:ascii="Cambria Math" w:hAnsi="Cambria Math" w:cs="Cambria Math"/>
          <w:color w:val="0E101A"/>
        </w:rPr>
        <w:t>⋅</w:t>
      </w:r>
      <w:r w:rsidRPr="003D4BBB">
        <w:rPr>
          <w:color w:val="0E101A"/>
        </w:rPr>
        <w:t>72; 95 % CI 1</w:t>
      </w:r>
      <w:r w:rsidRPr="003D4BBB">
        <w:rPr>
          <w:rFonts w:ascii="Cambria Math" w:hAnsi="Cambria Math" w:cs="Cambria Math"/>
          <w:color w:val="0E101A"/>
        </w:rPr>
        <w:t>⋅</w:t>
      </w:r>
      <w:r w:rsidRPr="003D4BBB">
        <w:rPr>
          <w:color w:val="0E101A"/>
        </w:rPr>
        <w:t>74, 18</w:t>
      </w:r>
      <w:r w:rsidRPr="003D4BBB">
        <w:rPr>
          <w:rFonts w:ascii="Cambria Math" w:hAnsi="Cambria Math" w:cs="Cambria Math"/>
          <w:color w:val="0E101A"/>
        </w:rPr>
        <w:t>⋅</w:t>
      </w:r>
      <w:r w:rsidRPr="003D4BBB">
        <w:rPr>
          <w:color w:val="0E101A"/>
        </w:rPr>
        <w:t>83 for veg&gt;2 servings/day) has remained significant.</w:t>
      </w:r>
      <w:r w:rsidRPr="003D4BBB">
        <w:rPr>
          <w:rStyle w:val="Strong"/>
          <w:color w:val="0E101A"/>
        </w:rPr>
        <w:t> </w:t>
      </w:r>
      <w:r w:rsidRPr="003D4BBB">
        <w:rPr>
          <w:color w:val="0E101A"/>
        </w:rPr>
        <w:t>The fully adjusted model 4 (OR 2</w:t>
      </w:r>
      <w:r w:rsidRPr="003D4BBB">
        <w:rPr>
          <w:rFonts w:ascii="Cambria Math" w:hAnsi="Cambria Math" w:cs="Cambria Math"/>
          <w:color w:val="0E101A"/>
        </w:rPr>
        <w:t>⋅</w:t>
      </w:r>
      <w:r w:rsidRPr="003D4BBB">
        <w:rPr>
          <w:color w:val="0E101A"/>
        </w:rPr>
        <w:t>17; 95 % CI 1</w:t>
      </w:r>
      <w:r w:rsidRPr="003D4BBB">
        <w:rPr>
          <w:rFonts w:ascii="Cambria Math" w:hAnsi="Cambria Math" w:cs="Cambria Math"/>
          <w:color w:val="0E101A"/>
        </w:rPr>
        <w:t>⋅</w:t>
      </w:r>
      <w:r w:rsidRPr="003D4BBB">
        <w:rPr>
          <w:color w:val="0E101A"/>
        </w:rPr>
        <w:t>18, 3</w:t>
      </w:r>
      <w:r w:rsidRPr="003D4BBB">
        <w:rPr>
          <w:rFonts w:ascii="Cambria Math" w:hAnsi="Cambria Math" w:cs="Cambria Math"/>
          <w:color w:val="0E101A"/>
        </w:rPr>
        <w:t>⋅</w:t>
      </w:r>
      <w:r w:rsidRPr="003D4BBB">
        <w:rPr>
          <w:color w:val="0E101A"/>
        </w:rPr>
        <w:t>99 for veg≤2 servings/day vs OR 5</w:t>
      </w:r>
      <w:r w:rsidRPr="003D4BBB">
        <w:rPr>
          <w:rFonts w:ascii="Cambria Math" w:hAnsi="Cambria Math" w:cs="Cambria Math"/>
          <w:color w:val="0E101A"/>
        </w:rPr>
        <w:t>⋅</w:t>
      </w:r>
      <w:r w:rsidRPr="003D4BBB">
        <w:rPr>
          <w:color w:val="0E101A"/>
        </w:rPr>
        <w:t>11; 95 % CI 1</w:t>
      </w:r>
      <w:r w:rsidRPr="003D4BBB">
        <w:rPr>
          <w:rFonts w:ascii="Cambria Math" w:hAnsi="Cambria Math" w:cs="Cambria Math"/>
          <w:color w:val="0E101A"/>
        </w:rPr>
        <w:t>⋅</w:t>
      </w:r>
      <w:r w:rsidRPr="003D4BBB">
        <w:rPr>
          <w:color w:val="0E101A"/>
        </w:rPr>
        <w:t>54, 16</w:t>
      </w:r>
      <w:r w:rsidRPr="003D4BBB">
        <w:rPr>
          <w:rFonts w:ascii="Cambria Math" w:hAnsi="Cambria Math" w:cs="Cambria Math"/>
          <w:color w:val="0E101A"/>
        </w:rPr>
        <w:t>⋅</w:t>
      </w:r>
      <w:r w:rsidRPr="003D4BBB">
        <w:rPr>
          <w:color w:val="0E101A"/>
        </w:rPr>
        <w:t>91 for veg&gt;2 servings/day) has also remained significant. Therefore, the above results demonstrate that first-generation respondents were more prone to develop T2D than the 2nd+ generations in terms of fruits consumption. </w:t>
      </w:r>
    </w:p>
    <w:p w14:paraId="2A8C8EA3" w14:textId="77777777" w:rsidR="00ED04FB" w:rsidRPr="003D4BBB" w:rsidRDefault="00ED04FB" w:rsidP="00ED04FB">
      <w:pPr>
        <w:pStyle w:val="NormalWeb"/>
        <w:spacing w:before="0" w:after="0" w:line="360" w:lineRule="auto"/>
        <w:jc w:val="both"/>
        <w:rPr>
          <w:color w:val="0E101A"/>
        </w:rPr>
      </w:pPr>
      <w:r w:rsidRPr="003D4BBB">
        <w:rPr>
          <w:color w:val="0E101A"/>
        </w:rPr>
        <w:t>For non-smokers, higher ORs were observed for first-generation than the 2nd generation in developing T2D in unadjusted (model 1: OR 2</w:t>
      </w:r>
      <w:r w:rsidRPr="003D4BBB">
        <w:rPr>
          <w:rFonts w:ascii="Cambria Math" w:hAnsi="Cambria Math" w:cs="Cambria Math"/>
          <w:color w:val="0E101A"/>
        </w:rPr>
        <w:t>⋅</w:t>
      </w:r>
      <w:r w:rsidRPr="003D4BBB">
        <w:rPr>
          <w:color w:val="0E101A"/>
        </w:rPr>
        <w:t>20; 95 % CI 1</w:t>
      </w:r>
      <w:r w:rsidRPr="003D4BBB">
        <w:rPr>
          <w:rFonts w:ascii="Cambria Math" w:hAnsi="Cambria Math" w:cs="Cambria Math"/>
          <w:color w:val="0E101A"/>
        </w:rPr>
        <w:t>⋅</w:t>
      </w:r>
      <w:r w:rsidRPr="003D4BBB">
        <w:rPr>
          <w:color w:val="0E101A"/>
        </w:rPr>
        <w:t>30, 3</w:t>
      </w:r>
      <w:r w:rsidRPr="003D4BBB">
        <w:rPr>
          <w:rFonts w:ascii="Cambria Math" w:hAnsi="Cambria Math" w:cs="Cambria Math"/>
          <w:color w:val="0E101A"/>
        </w:rPr>
        <w:t>⋅</w:t>
      </w:r>
      <w:r w:rsidRPr="003D4BBB">
        <w:rPr>
          <w:color w:val="0E101A"/>
        </w:rPr>
        <w:t>71) as well as all four adjusted models (for example, fully adjusted model 4: OR 2</w:t>
      </w:r>
      <w:r w:rsidRPr="003D4BBB">
        <w:rPr>
          <w:rFonts w:ascii="Cambria Math" w:hAnsi="Cambria Math" w:cs="Cambria Math"/>
          <w:color w:val="0E101A"/>
        </w:rPr>
        <w:t>⋅</w:t>
      </w:r>
      <w:r w:rsidRPr="003D4BBB">
        <w:rPr>
          <w:color w:val="0E101A"/>
        </w:rPr>
        <w:t>04; 95 % CI 1</w:t>
      </w:r>
      <w:r w:rsidRPr="003D4BBB">
        <w:rPr>
          <w:rFonts w:ascii="Cambria Math" w:hAnsi="Cambria Math" w:cs="Cambria Math"/>
          <w:color w:val="0E101A"/>
        </w:rPr>
        <w:t>⋅</w:t>
      </w:r>
      <w:r w:rsidRPr="003D4BBB">
        <w:rPr>
          <w:color w:val="0E101A"/>
        </w:rPr>
        <w:t>20, 3</w:t>
      </w:r>
      <w:r w:rsidRPr="003D4BBB">
        <w:rPr>
          <w:rFonts w:ascii="Cambria Math" w:hAnsi="Cambria Math" w:cs="Cambria Math"/>
          <w:color w:val="0E101A"/>
        </w:rPr>
        <w:t>⋅</w:t>
      </w:r>
      <w:r w:rsidRPr="003D4BBB">
        <w:rPr>
          <w:color w:val="0E101A"/>
        </w:rPr>
        <w:t>46). </w:t>
      </w:r>
    </w:p>
    <w:p w14:paraId="6D48D350" w14:textId="77777777" w:rsidR="00ED04FB" w:rsidRPr="003D4BBB" w:rsidRDefault="00ED04FB" w:rsidP="00ED04FB">
      <w:pPr>
        <w:pStyle w:val="NormalWeb"/>
        <w:spacing w:before="0" w:after="0" w:line="360" w:lineRule="auto"/>
        <w:jc w:val="both"/>
        <w:rPr>
          <w:color w:val="0E101A"/>
        </w:rPr>
      </w:pPr>
      <w:r w:rsidRPr="003D4BBB">
        <w:rPr>
          <w:color w:val="0E101A"/>
        </w:rPr>
        <w:t>For both alcoholic and non-alcoholic respondents, higher ORs were found for the first generation than the 2nd generation in developing T2D in unadjusted and all four adjusted models. For example, it is noted from the ORs that a higher odds was observed for alcoholic (model 1: OR 2</w:t>
      </w:r>
      <w:r w:rsidRPr="003D4BBB">
        <w:rPr>
          <w:rFonts w:ascii="Cambria Math" w:hAnsi="Cambria Math" w:cs="Cambria Math"/>
          <w:color w:val="0E101A"/>
        </w:rPr>
        <w:t>⋅</w:t>
      </w:r>
      <w:r w:rsidRPr="003D4BBB">
        <w:rPr>
          <w:color w:val="0E101A"/>
        </w:rPr>
        <w:t>74; 95 % CI 1</w:t>
      </w:r>
      <w:r w:rsidRPr="003D4BBB">
        <w:rPr>
          <w:rFonts w:ascii="Cambria Math" w:hAnsi="Cambria Math" w:cs="Cambria Math"/>
          <w:color w:val="0E101A"/>
        </w:rPr>
        <w:t>⋅</w:t>
      </w:r>
      <w:r w:rsidRPr="003D4BBB">
        <w:rPr>
          <w:color w:val="0E101A"/>
        </w:rPr>
        <w:t>17, 6</w:t>
      </w:r>
      <w:r w:rsidRPr="003D4BBB">
        <w:rPr>
          <w:rFonts w:ascii="Cambria Math" w:hAnsi="Cambria Math" w:cs="Cambria Math"/>
          <w:color w:val="0E101A"/>
        </w:rPr>
        <w:t>⋅</w:t>
      </w:r>
      <w:r w:rsidRPr="003D4BBB">
        <w:rPr>
          <w:color w:val="0E101A"/>
        </w:rPr>
        <w:t>41 and fully adjusted model 4: OR 2</w:t>
      </w:r>
      <w:r w:rsidRPr="003D4BBB">
        <w:rPr>
          <w:rFonts w:ascii="Cambria Math" w:hAnsi="Cambria Math" w:cs="Cambria Math"/>
          <w:color w:val="0E101A"/>
        </w:rPr>
        <w:t>⋅</w:t>
      </w:r>
      <w:r w:rsidRPr="003D4BBB">
        <w:rPr>
          <w:color w:val="0E101A"/>
        </w:rPr>
        <w:t>80; 95 % CI 1</w:t>
      </w:r>
      <w:r w:rsidRPr="003D4BBB">
        <w:rPr>
          <w:rFonts w:ascii="Cambria Math" w:hAnsi="Cambria Math" w:cs="Cambria Math"/>
          <w:color w:val="0E101A"/>
        </w:rPr>
        <w:t>⋅</w:t>
      </w:r>
      <w:r w:rsidRPr="003D4BBB">
        <w:rPr>
          <w:color w:val="0E101A"/>
        </w:rPr>
        <w:t>18, 6</w:t>
      </w:r>
      <w:r w:rsidRPr="003D4BBB">
        <w:rPr>
          <w:rFonts w:ascii="Cambria Math" w:hAnsi="Cambria Math" w:cs="Cambria Math"/>
          <w:color w:val="0E101A"/>
        </w:rPr>
        <w:t>⋅</w:t>
      </w:r>
      <w:r w:rsidRPr="003D4BBB">
        <w:rPr>
          <w:color w:val="0E101A"/>
        </w:rPr>
        <w:t>62) than the non-alcoholic (model 1: OR 2</w:t>
      </w:r>
      <w:r w:rsidRPr="003D4BBB">
        <w:rPr>
          <w:rFonts w:ascii="Cambria Math" w:hAnsi="Cambria Math" w:cs="Cambria Math"/>
          <w:color w:val="0E101A"/>
        </w:rPr>
        <w:t>⋅</w:t>
      </w:r>
      <w:r w:rsidRPr="003D4BBB">
        <w:rPr>
          <w:color w:val="0E101A"/>
        </w:rPr>
        <w:t>47; 95 % CI 1</w:t>
      </w:r>
      <w:r w:rsidRPr="003D4BBB">
        <w:rPr>
          <w:rFonts w:ascii="Cambria Math" w:hAnsi="Cambria Math" w:cs="Cambria Math"/>
          <w:color w:val="0E101A"/>
        </w:rPr>
        <w:t>⋅</w:t>
      </w:r>
      <w:r w:rsidRPr="003D4BBB">
        <w:rPr>
          <w:color w:val="0E101A"/>
        </w:rPr>
        <w:t>21, 5</w:t>
      </w:r>
      <w:r w:rsidRPr="003D4BBB">
        <w:rPr>
          <w:rFonts w:ascii="Cambria Math" w:hAnsi="Cambria Math" w:cs="Cambria Math"/>
          <w:color w:val="0E101A"/>
        </w:rPr>
        <w:t>⋅</w:t>
      </w:r>
      <w:r w:rsidRPr="003D4BBB">
        <w:rPr>
          <w:color w:val="0E101A"/>
        </w:rPr>
        <w:t>02 and fully adjusted model 4: OR 2</w:t>
      </w:r>
      <w:r w:rsidRPr="003D4BBB">
        <w:rPr>
          <w:rFonts w:ascii="Cambria Math" w:hAnsi="Cambria Math" w:cs="Cambria Math"/>
          <w:color w:val="0E101A"/>
        </w:rPr>
        <w:t>⋅</w:t>
      </w:r>
      <w:r w:rsidRPr="003D4BBB">
        <w:rPr>
          <w:color w:val="0E101A"/>
        </w:rPr>
        <w:t>40; 95 % CI 1</w:t>
      </w:r>
      <w:r w:rsidRPr="003D4BBB">
        <w:rPr>
          <w:rFonts w:ascii="Cambria Math" w:hAnsi="Cambria Math" w:cs="Cambria Math"/>
          <w:color w:val="0E101A"/>
        </w:rPr>
        <w:t>⋅</w:t>
      </w:r>
      <w:r w:rsidRPr="003D4BBB">
        <w:rPr>
          <w:color w:val="0E101A"/>
        </w:rPr>
        <w:t>17, 4</w:t>
      </w:r>
      <w:r w:rsidRPr="003D4BBB">
        <w:rPr>
          <w:rFonts w:ascii="Cambria Math" w:hAnsi="Cambria Math" w:cs="Cambria Math"/>
          <w:color w:val="0E101A"/>
        </w:rPr>
        <w:t>⋅</w:t>
      </w:r>
      <w:r w:rsidRPr="003D4BBB">
        <w:rPr>
          <w:color w:val="0E101A"/>
        </w:rPr>
        <w:t>93) respondents.  </w:t>
      </w:r>
    </w:p>
    <w:p w14:paraId="1DDF8493" w14:textId="77777777" w:rsidR="00ED04FB" w:rsidRPr="003D4BBB" w:rsidRDefault="00ED04FB" w:rsidP="00ED04FB">
      <w:pPr>
        <w:pStyle w:val="NormalWeb"/>
        <w:spacing w:before="0" w:after="0" w:line="360" w:lineRule="auto"/>
        <w:jc w:val="both"/>
        <w:rPr>
          <w:color w:val="0E101A"/>
        </w:rPr>
      </w:pPr>
      <w:r w:rsidRPr="003D4BBB">
        <w:rPr>
          <w:color w:val="0E101A"/>
        </w:rPr>
        <w:t>In the case of physical activity, the generational difference is relatively high for the respondents who walked weekly that means among the respondents, who did the physical activity, first-generation respondents were significantly more likely to develop T2D than the 2nd generation, for example, (unadjusted model 1: OR 2</w:t>
      </w:r>
      <w:r w:rsidRPr="003D4BBB">
        <w:rPr>
          <w:rFonts w:ascii="Cambria Math" w:hAnsi="Cambria Math" w:cs="Cambria Math"/>
          <w:color w:val="0E101A"/>
        </w:rPr>
        <w:t>⋅</w:t>
      </w:r>
      <w:r w:rsidRPr="003D4BBB">
        <w:rPr>
          <w:color w:val="0E101A"/>
        </w:rPr>
        <w:t>93; 95 % CI 1</w:t>
      </w:r>
      <w:r w:rsidRPr="003D4BBB">
        <w:rPr>
          <w:rFonts w:ascii="Cambria Math" w:hAnsi="Cambria Math" w:cs="Cambria Math"/>
          <w:color w:val="0E101A"/>
        </w:rPr>
        <w:t>⋅</w:t>
      </w:r>
      <w:r w:rsidRPr="003D4BBB">
        <w:rPr>
          <w:color w:val="0E101A"/>
        </w:rPr>
        <w:t>58, 5</w:t>
      </w:r>
      <w:r w:rsidRPr="003D4BBB">
        <w:rPr>
          <w:rFonts w:ascii="Cambria Math" w:hAnsi="Cambria Math" w:cs="Cambria Math"/>
          <w:color w:val="0E101A"/>
        </w:rPr>
        <w:t>⋅</w:t>
      </w:r>
      <w:r w:rsidRPr="003D4BBB">
        <w:rPr>
          <w:color w:val="0E101A"/>
        </w:rPr>
        <w:t>44 and fully adjusted model 4: OR 3</w:t>
      </w:r>
      <w:r w:rsidRPr="003D4BBB">
        <w:rPr>
          <w:rFonts w:ascii="Cambria Math" w:hAnsi="Cambria Math" w:cs="Cambria Math"/>
          <w:color w:val="0E101A"/>
        </w:rPr>
        <w:t>⋅</w:t>
      </w:r>
      <w:r w:rsidRPr="003D4BBB">
        <w:rPr>
          <w:color w:val="0E101A"/>
        </w:rPr>
        <w:t>06; 95 % CI 1</w:t>
      </w:r>
      <w:r w:rsidRPr="003D4BBB">
        <w:rPr>
          <w:rFonts w:ascii="Cambria Math" w:hAnsi="Cambria Math" w:cs="Cambria Math"/>
          <w:color w:val="0E101A"/>
        </w:rPr>
        <w:t>⋅</w:t>
      </w:r>
      <w:r w:rsidRPr="003D4BBB">
        <w:rPr>
          <w:color w:val="0E101A"/>
        </w:rPr>
        <w:t>64, 5</w:t>
      </w:r>
      <w:r w:rsidRPr="003D4BBB">
        <w:rPr>
          <w:rFonts w:ascii="Cambria Math" w:hAnsi="Cambria Math" w:cs="Cambria Math"/>
          <w:color w:val="0E101A"/>
        </w:rPr>
        <w:t>⋅</w:t>
      </w:r>
      <w:r w:rsidRPr="003D4BBB">
        <w:rPr>
          <w:color w:val="0E101A"/>
        </w:rPr>
        <w:t>72). </w:t>
      </w:r>
    </w:p>
    <w:p w14:paraId="22EDAD15" w14:textId="1A959612" w:rsidR="00ED04FB" w:rsidRDefault="00ED04FB" w:rsidP="00ED04FB">
      <w:pPr>
        <w:pStyle w:val="NormalWeb"/>
        <w:spacing w:before="0" w:after="0" w:line="360" w:lineRule="auto"/>
        <w:jc w:val="both"/>
        <w:rPr>
          <w:color w:val="0E101A"/>
        </w:rPr>
      </w:pPr>
      <w:r w:rsidRPr="003D4BBB">
        <w:rPr>
          <w:color w:val="0E101A"/>
        </w:rPr>
        <w:t xml:space="preserve">The strength of the association between generation and T2D development was increased by 5.6% for veg≤2 servings/day, 4.3% for veg&gt;2 servings/day, 5.5% for fruit≤2 servings/day, 5.5% for fruit&gt;2 servings/day, 5.5% for non-smokers, 4.8% for the alcoholic, 8.4% for non-alcoholic respondents in model 3 by the confounding effect of sleep quality. However, the strength of the association between generation and T2D development was decreased by 11.5% </w:t>
      </w:r>
      <w:r w:rsidRPr="003D4BBB">
        <w:rPr>
          <w:color w:val="0E101A"/>
        </w:rPr>
        <w:lastRenderedPageBreak/>
        <w:t>for veg≤2 servings/day, 6.5% for fruit≤2 servings/day, 10.7% for fruit&gt;2 servings/day, 11.3% for non-smokers, 7.7% for non-alcoholic respondents in model 4 by the confounding effect of high blood pressure and long-standing illness. </w:t>
      </w:r>
    </w:p>
    <w:p w14:paraId="77AB01C2" w14:textId="77777777" w:rsidR="000F1A5A" w:rsidRPr="003D4BBB" w:rsidRDefault="000F1A5A" w:rsidP="00ED04FB">
      <w:pPr>
        <w:pStyle w:val="NormalWeb"/>
        <w:spacing w:before="0" w:after="0" w:line="360" w:lineRule="auto"/>
        <w:jc w:val="both"/>
        <w:rPr>
          <w:color w:val="0E101A"/>
        </w:rPr>
      </w:pPr>
    </w:p>
    <w:p w14:paraId="3A927AFD" w14:textId="00E97359" w:rsidR="00FB57F8" w:rsidRDefault="00ED04FB" w:rsidP="00ED04FB">
      <w:pPr>
        <w:pStyle w:val="NormalWeb"/>
        <w:spacing w:before="0" w:after="0" w:line="360" w:lineRule="auto"/>
        <w:jc w:val="both"/>
        <w:rPr>
          <w:rStyle w:val="Strong"/>
          <w:color w:val="0E101A"/>
        </w:rPr>
      </w:pPr>
      <w:r w:rsidRPr="003D4BBB">
        <w:rPr>
          <w:rStyle w:val="Strong"/>
          <w:color w:val="0E101A"/>
        </w:rPr>
        <w:t>Conclusion</w:t>
      </w:r>
    </w:p>
    <w:p w14:paraId="1315C284" w14:textId="0178117E" w:rsidR="00ED04FB" w:rsidRDefault="00DB4EA2" w:rsidP="00ED04FB">
      <w:pPr>
        <w:pStyle w:val="NormalWeb"/>
        <w:spacing w:before="0" w:after="0" w:line="360" w:lineRule="auto"/>
        <w:jc w:val="both"/>
        <w:rPr>
          <w:color w:val="0E101A"/>
        </w:rPr>
      </w:pPr>
      <w:r w:rsidRPr="003D4BBB">
        <w:rPr>
          <w:color w:val="0E101A"/>
        </w:rPr>
        <w:t xml:space="preserve">The </w:t>
      </w:r>
      <w:r>
        <w:rPr>
          <w:color w:val="0E101A"/>
        </w:rPr>
        <w:t>current</w:t>
      </w:r>
      <w:r w:rsidRPr="003D4BBB">
        <w:rPr>
          <w:color w:val="0E101A"/>
        </w:rPr>
        <w:t xml:space="preserve"> study confirms</w:t>
      </w:r>
      <w:r w:rsidRPr="003D4BBB">
        <w:rPr>
          <w:rStyle w:val="Strong"/>
          <w:color w:val="0E101A"/>
        </w:rPr>
        <w:t> </w:t>
      </w:r>
      <w:r w:rsidRPr="00DB4EA2">
        <w:rPr>
          <w:rStyle w:val="Strong"/>
          <w:b w:val="0"/>
          <w:bCs w:val="0"/>
          <w:color w:val="0E101A"/>
        </w:rPr>
        <w:t>that</w:t>
      </w:r>
      <w:r>
        <w:rPr>
          <w:rStyle w:val="Strong"/>
          <w:color w:val="0E101A"/>
        </w:rPr>
        <w:t xml:space="preserve"> </w:t>
      </w:r>
      <w:r>
        <w:rPr>
          <w:color w:val="0E101A"/>
        </w:rPr>
        <w:t>first</w:t>
      </w:r>
      <w:r w:rsidRPr="003D4BBB">
        <w:rPr>
          <w:color w:val="0E101A"/>
        </w:rPr>
        <w:t xml:space="preserve"> generational </w:t>
      </w:r>
      <w:r>
        <w:rPr>
          <w:color w:val="0E101A"/>
        </w:rPr>
        <w:t xml:space="preserve">is more likely to develop T2D than the second+ generation </w:t>
      </w:r>
      <w:r w:rsidRPr="003D4BBB">
        <w:rPr>
          <w:color w:val="0E101A"/>
        </w:rPr>
        <w:t xml:space="preserve">in terms of dietary and lifestyle habits in Asian, </w:t>
      </w:r>
      <w:proofErr w:type="gramStart"/>
      <w:r w:rsidRPr="003D4BBB">
        <w:rPr>
          <w:color w:val="0E101A"/>
        </w:rPr>
        <w:t>African</w:t>
      </w:r>
      <w:proofErr w:type="gramEnd"/>
      <w:r w:rsidRPr="003D4BBB">
        <w:rPr>
          <w:color w:val="0E101A"/>
        </w:rPr>
        <w:t xml:space="preserve"> and Caribbean adults aged 25+ years.</w:t>
      </w:r>
      <w:r>
        <w:rPr>
          <w:color w:val="0E101A"/>
        </w:rPr>
        <w:t xml:space="preserve"> </w:t>
      </w:r>
      <w:r w:rsidR="00ED04FB" w:rsidRPr="003D4BBB">
        <w:rPr>
          <w:color w:val="0E101A"/>
        </w:rPr>
        <w:t>Moreover,</w:t>
      </w:r>
      <w:r w:rsidR="00ED04FB" w:rsidRPr="003D4BBB">
        <w:rPr>
          <w:rStyle w:val="Strong"/>
          <w:color w:val="0E101A"/>
        </w:rPr>
        <w:t> </w:t>
      </w:r>
      <w:r w:rsidR="00ED04FB" w:rsidRPr="003D4BBB">
        <w:rPr>
          <w:color w:val="0E101A"/>
        </w:rPr>
        <w:t>sleep quality, high blood pressure, and long-standing illness are strong confounders since a more change was observed in the association between generation and T2D development after adjusting for these covariates. </w:t>
      </w:r>
    </w:p>
    <w:p w14:paraId="551D8375" w14:textId="77777777" w:rsidR="00C82D89" w:rsidRPr="003D4BBB" w:rsidRDefault="00C82D89" w:rsidP="00ED04FB">
      <w:pPr>
        <w:pStyle w:val="NormalWeb"/>
        <w:spacing w:before="0" w:after="0" w:line="360" w:lineRule="auto"/>
        <w:jc w:val="both"/>
        <w:rPr>
          <w:color w:val="0E101A"/>
        </w:rPr>
      </w:pPr>
    </w:p>
    <w:p w14:paraId="08D64350" w14:textId="42439CCA" w:rsidR="001735BA" w:rsidRDefault="00590804" w:rsidP="001735BA">
      <w:pPr>
        <w:widowControl w:val="0"/>
        <w:autoSpaceDE w:val="0"/>
        <w:adjustRightInd w:val="0"/>
        <w:spacing w:after="0" w:line="360" w:lineRule="auto"/>
        <w:rPr>
          <w:b/>
          <w:bCs/>
          <w:color w:val="0E101A"/>
          <w:szCs w:val="24"/>
          <w:lang w:val="en-US"/>
        </w:rPr>
      </w:pPr>
      <w:r>
        <w:rPr>
          <w:b/>
          <w:bCs/>
          <w:color w:val="0E101A"/>
          <w:szCs w:val="24"/>
          <w:lang w:val="en-US"/>
        </w:rPr>
        <w:t>References</w:t>
      </w:r>
    </w:p>
    <w:p w14:paraId="360E1635" w14:textId="77777777" w:rsidR="00590804" w:rsidRPr="003A0B67" w:rsidRDefault="00590804" w:rsidP="007B1F2D">
      <w:pPr>
        <w:widowControl w:val="0"/>
        <w:autoSpaceDE w:val="0"/>
        <w:adjustRightInd w:val="0"/>
        <w:spacing w:after="0" w:line="360" w:lineRule="auto"/>
        <w:ind w:left="284" w:hanging="284"/>
        <w:jc w:val="both"/>
        <w:rPr>
          <w:noProof/>
          <w:szCs w:val="24"/>
        </w:rPr>
      </w:pPr>
      <w:r w:rsidRPr="003A0B67">
        <w:rPr>
          <w:noProof/>
          <w:szCs w:val="24"/>
        </w:rPr>
        <w:t xml:space="preserve">Ahmed, A., Lager, A., Fredlund, P., and Elinder, L. S. (2020) ‘Consumption of fruit and vegetables and the risk of type 2 diabetes: A 4-year longitudinal study among Swedish adults’, </w:t>
      </w:r>
      <w:r w:rsidRPr="003A0B67">
        <w:rPr>
          <w:i/>
          <w:iCs/>
          <w:noProof/>
          <w:szCs w:val="24"/>
        </w:rPr>
        <w:t>Journal of Nutritional Science</w:t>
      </w:r>
      <w:r w:rsidRPr="003A0B67">
        <w:rPr>
          <w:noProof/>
          <w:szCs w:val="24"/>
        </w:rPr>
        <w:t>, 9(e14), pp. 1–9. doi: 10.1017/jns.2020.7.</w:t>
      </w:r>
    </w:p>
    <w:p w14:paraId="4F347501" w14:textId="77777777" w:rsidR="00590804" w:rsidRPr="003A0B67" w:rsidRDefault="00590804" w:rsidP="007B1F2D">
      <w:pPr>
        <w:widowControl w:val="0"/>
        <w:autoSpaceDE w:val="0"/>
        <w:adjustRightInd w:val="0"/>
        <w:spacing w:after="0" w:line="360" w:lineRule="auto"/>
        <w:ind w:left="284" w:hanging="284"/>
        <w:jc w:val="both"/>
        <w:rPr>
          <w:noProof/>
          <w:szCs w:val="24"/>
        </w:rPr>
      </w:pPr>
      <w:r>
        <w:rPr>
          <w:b/>
          <w:bCs/>
          <w:color w:val="0E101A"/>
          <w:szCs w:val="24"/>
        </w:rPr>
        <w:t xml:space="preserve"> </w:t>
      </w:r>
      <w:r w:rsidRPr="003A0B67">
        <w:rPr>
          <w:noProof/>
          <w:szCs w:val="24"/>
        </w:rPr>
        <w:t xml:space="preserve">Bhopal, R. S. (2013) ‘A four-stage model explaining the higher risk of Type 2 diabetes mellitus in South Asians compared with European populations’, </w:t>
      </w:r>
      <w:r w:rsidRPr="003A0B67">
        <w:rPr>
          <w:i/>
          <w:iCs/>
          <w:noProof/>
          <w:szCs w:val="24"/>
        </w:rPr>
        <w:t>Diabetic Medicine</w:t>
      </w:r>
      <w:r w:rsidRPr="003A0B67">
        <w:rPr>
          <w:noProof/>
          <w:szCs w:val="24"/>
        </w:rPr>
        <w:t>, 30(1), pp. 35–42. doi: 10.1111/dme.12016.</w:t>
      </w:r>
    </w:p>
    <w:p w14:paraId="7E230B64" w14:textId="77777777" w:rsidR="00590804" w:rsidRPr="003A0B67" w:rsidRDefault="00590804" w:rsidP="007B1F2D">
      <w:pPr>
        <w:widowControl w:val="0"/>
        <w:autoSpaceDE w:val="0"/>
        <w:adjustRightInd w:val="0"/>
        <w:spacing w:after="0" w:line="360" w:lineRule="auto"/>
        <w:ind w:left="284" w:hanging="284"/>
        <w:jc w:val="both"/>
        <w:rPr>
          <w:noProof/>
          <w:szCs w:val="24"/>
        </w:rPr>
      </w:pPr>
      <w:r>
        <w:rPr>
          <w:b/>
          <w:bCs/>
          <w:color w:val="0E101A"/>
          <w:szCs w:val="24"/>
        </w:rPr>
        <w:t xml:space="preserve"> </w:t>
      </w:r>
      <w:r w:rsidRPr="003A0B67">
        <w:rPr>
          <w:noProof/>
          <w:szCs w:val="24"/>
        </w:rPr>
        <w:t xml:space="preserve">Brunner, E. J., Mosdol, A., White, D. R., Martikainen, P., Stafford, M., Shipley, M. J., and Marmot, M. G. (2008) ‘Dietary patterns and 15-y risks of major coronary events, diabetes, and mortality’, </w:t>
      </w:r>
      <w:r w:rsidRPr="003A0B67">
        <w:rPr>
          <w:i/>
          <w:iCs/>
          <w:noProof/>
          <w:szCs w:val="24"/>
        </w:rPr>
        <w:t>American Journal of Clinical Nutrition</w:t>
      </w:r>
      <w:r w:rsidRPr="003A0B67">
        <w:rPr>
          <w:noProof/>
          <w:szCs w:val="24"/>
        </w:rPr>
        <w:t>, 87(5), pp. 1414–1421. doi: 10.1093/ajcn/87.5.1414.</w:t>
      </w:r>
    </w:p>
    <w:p w14:paraId="36E2CE38" w14:textId="6321A2E4" w:rsidR="00590804" w:rsidRPr="00590804" w:rsidRDefault="00590804" w:rsidP="007B1F2D">
      <w:pPr>
        <w:widowControl w:val="0"/>
        <w:autoSpaceDE w:val="0"/>
        <w:adjustRightInd w:val="0"/>
        <w:spacing w:after="0" w:line="360" w:lineRule="auto"/>
        <w:ind w:left="284" w:hanging="284"/>
        <w:jc w:val="both"/>
        <w:rPr>
          <w:b/>
          <w:bCs/>
          <w:color w:val="0E101A"/>
          <w:szCs w:val="24"/>
        </w:rPr>
      </w:pPr>
      <w:r>
        <w:rPr>
          <w:b/>
          <w:bCs/>
          <w:color w:val="0E101A"/>
          <w:szCs w:val="24"/>
        </w:rPr>
        <w:t xml:space="preserve"> </w:t>
      </w:r>
      <w:r w:rsidRPr="0039737B">
        <w:rPr>
          <w:noProof/>
          <w:szCs w:val="24"/>
        </w:rPr>
        <w:t xml:space="preserve">Chatterjee, S. and Hadi, A. S. (2006) </w:t>
      </w:r>
      <w:r w:rsidRPr="0039737B">
        <w:rPr>
          <w:i/>
          <w:iCs/>
          <w:noProof/>
          <w:szCs w:val="24"/>
        </w:rPr>
        <w:t>Regression Analysis</w:t>
      </w:r>
      <w:r w:rsidRPr="0039737B">
        <w:rPr>
          <w:noProof/>
          <w:szCs w:val="24"/>
        </w:rPr>
        <w:t>. 4th edn. John Wiley and Sons, Inc</w:t>
      </w:r>
      <w:r>
        <w:rPr>
          <w:noProof/>
          <w:szCs w:val="24"/>
        </w:rPr>
        <w:t xml:space="preserve"> </w:t>
      </w:r>
    </w:p>
    <w:p w14:paraId="6AA8613D" w14:textId="666FC482" w:rsidR="00590804" w:rsidRPr="003A0B67" w:rsidRDefault="00590804" w:rsidP="007B1F2D">
      <w:pPr>
        <w:widowControl w:val="0"/>
        <w:autoSpaceDE w:val="0"/>
        <w:adjustRightInd w:val="0"/>
        <w:spacing w:after="0" w:line="360" w:lineRule="auto"/>
        <w:ind w:left="284" w:hanging="284"/>
        <w:jc w:val="both"/>
        <w:rPr>
          <w:noProof/>
          <w:szCs w:val="24"/>
        </w:rPr>
      </w:pPr>
      <w:r>
        <w:rPr>
          <w:noProof/>
          <w:szCs w:val="24"/>
        </w:rPr>
        <w:t xml:space="preserve"> </w:t>
      </w:r>
      <w:r w:rsidRPr="003A0B67">
        <w:rPr>
          <w:noProof/>
          <w:szCs w:val="24"/>
        </w:rPr>
        <w:t xml:space="preserve">Diabetes UK (2019) </w:t>
      </w:r>
      <w:r w:rsidRPr="003A0B67">
        <w:rPr>
          <w:i/>
          <w:iCs/>
          <w:noProof/>
          <w:szCs w:val="24"/>
        </w:rPr>
        <w:t>Diabetes UK Facts and Figures 2019</w:t>
      </w:r>
      <w:r w:rsidRPr="003A0B67">
        <w:rPr>
          <w:noProof/>
          <w:szCs w:val="24"/>
        </w:rPr>
        <w:t xml:space="preserve">, </w:t>
      </w:r>
      <w:r w:rsidRPr="003A0B67">
        <w:rPr>
          <w:i/>
          <w:iCs/>
          <w:noProof/>
          <w:szCs w:val="24"/>
        </w:rPr>
        <w:t>Diabetes UK</w:t>
      </w:r>
      <w:r w:rsidRPr="003A0B67">
        <w:rPr>
          <w:noProof/>
          <w:szCs w:val="24"/>
        </w:rPr>
        <w:t>. Available at: https://www.diabetes.org.uk/about_us/news/new-stats-people-living-with-diabetes.</w:t>
      </w:r>
    </w:p>
    <w:p w14:paraId="34E48008" w14:textId="1910BB1F" w:rsidR="0039737B" w:rsidRPr="00590804" w:rsidRDefault="00350345" w:rsidP="007B1F2D">
      <w:pPr>
        <w:widowControl w:val="0"/>
        <w:autoSpaceDE w:val="0"/>
        <w:adjustRightInd w:val="0"/>
        <w:spacing w:after="0" w:line="360" w:lineRule="auto"/>
        <w:ind w:left="284" w:hanging="284"/>
        <w:jc w:val="both"/>
        <w:rPr>
          <w:b/>
          <w:bCs/>
          <w:color w:val="0E101A"/>
          <w:szCs w:val="24"/>
        </w:rPr>
      </w:pPr>
      <w:r w:rsidRPr="003A0B67">
        <w:rPr>
          <w:noProof/>
          <w:szCs w:val="24"/>
        </w:rPr>
        <w:t xml:space="preserve">GBD 2016 Risk Factors Collaborators (2017) ‘Global, regional, and national comparative risk assessment of 84 behavioural, environmental and occupational, and metabolic risks or clusters of risks, 1990-2016: A systematic analysis for the Global Burden of Disease Study 2016’, </w:t>
      </w:r>
      <w:r w:rsidRPr="003A0B67">
        <w:rPr>
          <w:i/>
          <w:iCs/>
          <w:noProof/>
          <w:szCs w:val="24"/>
        </w:rPr>
        <w:t>The Lancet</w:t>
      </w:r>
      <w:r w:rsidRPr="003A0B67">
        <w:rPr>
          <w:noProof/>
          <w:szCs w:val="24"/>
        </w:rPr>
        <w:t>, 390(10100), pp. 1345–1422. doi: 10.1016/S0140-6736(17)32366-8.</w:t>
      </w:r>
      <w:r>
        <w:rPr>
          <w:noProof/>
          <w:szCs w:val="24"/>
        </w:rPr>
        <w:t xml:space="preserve"> </w:t>
      </w:r>
    </w:p>
    <w:p w14:paraId="1CB3FBC0" w14:textId="77777777" w:rsidR="00350345" w:rsidRPr="003A0B67" w:rsidRDefault="00350345" w:rsidP="007B1F2D">
      <w:pPr>
        <w:widowControl w:val="0"/>
        <w:autoSpaceDE w:val="0"/>
        <w:adjustRightInd w:val="0"/>
        <w:spacing w:after="0" w:line="360" w:lineRule="auto"/>
        <w:ind w:left="284" w:hanging="284"/>
        <w:jc w:val="both"/>
        <w:rPr>
          <w:noProof/>
          <w:szCs w:val="24"/>
        </w:rPr>
      </w:pPr>
      <w:r w:rsidRPr="003A0B67">
        <w:rPr>
          <w:noProof/>
          <w:szCs w:val="24"/>
        </w:rPr>
        <w:t xml:space="preserve">Gilbert, P. A. and Khokhar, S. (2008) ‘Changing dietary habits of ethnic groups in Europe and implications for health’, </w:t>
      </w:r>
      <w:r w:rsidRPr="003A0B67">
        <w:rPr>
          <w:i/>
          <w:iCs/>
          <w:noProof/>
          <w:szCs w:val="24"/>
        </w:rPr>
        <w:t>Nutrition Reviews</w:t>
      </w:r>
      <w:r w:rsidRPr="003A0B67">
        <w:rPr>
          <w:noProof/>
          <w:szCs w:val="24"/>
        </w:rPr>
        <w:t>, 66(4), pp. 203–215. doi: 10.1111/j.1753-4887.2008.00025.x.</w:t>
      </w:r>
    </w:p>
    <w:p w14:paraId="71041D61" w14:textId="77777777" w:rsidR="00350345" w:rsidRPr="003A0B67" w:rsidRDefault="00350345" w:rsidP="007B1F2D">
      <w:pPr>
        <w:widowControl w:val="0"/>
        <w:autoSpaceDE w:val="0"/>
        <w:adjustRightInd w:val="0"/>
        <w:spacing w:after="0" w:line="360" w:lineRule="auto"/>
        <w:ind w:left="284" w:hanging="284"/>
        <w:jc w:val="both"/>
        <w:rPr>
          <w:noProof/>
          <w:szCs w:val="24"/>
        </w:rPr>
      </w:pPr>
      <w:r>
        <w:rPr>
          <w:b/>
          <w:bCs/>
          <w:color w:val="0E101A"/>
          <w:szCs w:val="24"/>
        </w:rPr>
        <w:t xml:space="preserve"> </w:t>
      </w:r>
      <w:r w:rsidRPr="003A0B67">
        <w:rPr>
          <w:noProof/>
          <w:szCs w:val="24"/>
        </w:rPr>
        <w:t xml:space="preserve">Global Burden of Disease Study (2017) ‘Global Burden of Disease Study 2017’, </w:t>
      </w:r>
      <w:r w:rsidRPr="003A0B67">
        <w:rPr>
          <w:i/>
          <w:iCs/>
          <w:noProof/>
          <w:szCs w:val="24"/>
        </w:rPr>
        <w:t>The Lancet</w:t>
      </w:r>
      <w:r w:rsidRPr="003A0B67">
        <w:rPr>
          <w:noProof/>
          <w:szCs w:val="24"/>
        </w:rPr>
        <w:t xml:space="preserve">, 5, pp. 1–27. Available at: </w:t>
      </w:r>
      <w:r w:rsidRPr="003A0B67">
        <w:rPr>
          <w:noProof/>
          <w:szCs w:val="24"/>
        </w:rPr>
        <w:lastRenderedPageBreak/>
        <w:t>http://www.healthdata.org/sites/default/files/files/policy_report/2019/GBD_2017_Booklet.pdf.</w:t>
      </w:r>
    </w:p>
    <w:p w14:paraId="58159C41" w14:textId="77777777" w:rsidR="00EA4E4E" w:rsidRDefault="00350345" w:rsidP="007B1F2D">
      <w:pPr>
        <w:widowControl w:val="0"/>
        <w:autoSpaceDE w:val="0"/>
        <w:adjustRightInd w:val="0"/>
        <w:spacing w:after="0" w:line="360" w:lineRule="auto"/>
        <w:ind w:left="284" w:hanging="284"/>
        <w:jc w:val="both"/>
        <w:rPr>
          <w:noProof/>
          <w:szCs w:val="24"/>
        </w:rPr>
      </w:pPr>
      <w:r>
        <w:rPr>
          <w:b/>
          <w:bCs/>
          <w:color w:val="0E101A"/>
          <w:szCs w:val="24"/>
        </w:rPr>
        <w:t xml:space="preserve"> </w:t>
      </w:r>
      <w:r w:rsidRPr="003A0B67">
        <w:rPr>
          <w:noProof/>
          <w:szCs w:val="24"/>
        </w:rPr>
        <w:t xml:space="preserve">Gualdi-Russo, E., Zaccagni, L., Manzon, V. S., Masotti, S., Rinaldo, N., and Khyatti, M. (2014) ‘Obesity and physical activity in children of immigrants’, </w:t>
      </w:r>
      <w:r w:rsidRPr="003A0B67">
        <w:rPr>
          <w:i/>
          <w:iCs/>
          <w:noProof/>
          <w:szCs w:val="24"/>
        </w:rPr>
        <w:t>European Journal of Public Health</w:t>
      </w:r>
      <w:r w:rsidRPr="003A0B67">
        <w:rPr>
          <w:noProof/>
          <w:szCs w:val="24"/>
        </w:rPr>
        <w:t>, 24(SUPPL.1), pp. 40–46. doi: 10.1093/eurpub/cku111.</w:t>
      </w:r>
      <w:r w:rsidR="00EA4E4E" w:rsidRPr="00EA4E4E">
        <w:rPr>
          <w:noProof/>
          <w:szCs w:val="24"/>
        </w:rPr>
        <w:t xml:space="preserve"> </w:t>
      </w:r>
    </w:p>
    <w:p w14:paraId="43F68EA6" w14:textId="29450676" w:rsidR="00EA4E4E" w:rsidRPr="0039737B" w:rsidRDefault="00EA4E4E" w:rsidP="007B1F2D">
      <w:pPr>
        <w:widowControl w:val="0"/>
        <w:autoSpaceDE w:val="0"/>
        <w:adjustRightInd w:val="0"/>
        <w:spacing w:after="0" w:line="360" w:lineRule="auto"/>
        <w:ind w:left="284" w:hanging="284"/>
        <w:jc w:val="both"/>
        <w:rPr>
          <w:noProof/>
          <w:szCs w:val="24"/>
        </w:rPr>
      </w:pPr>
      <w:r w:rsidRPr="0039737B">
        <w:rPr>
          <w:noProof/>
          <w:szCs w:val="24"/>
        </w:rPr>
        <w:t xml:space="preserve">Gundi Knies (2017) </w:t>
      </w:r>
      <w:r w:rsidRPr="0039737B">
        <w:rPr>
          <w:i/>
          <w:iCs/>
          <w:noProof/>
          <w:szCs w:val="24"/>
        </w:rPr>
        <w:t>Understanding Society –UK Household Longitudinal Study: Wave 1 -7, 2009-2016, User Guide.</w:t>
      </w:r>
    </w:p>
    <w:p w14:paraId="64CB48B9" w14:textId="77777777" w:rsidR="00EA4E4E" w:rsidRPr="0039737B" w:rsidRDefault="00EA4E4E" w:rsidP="007B1F2D">
      <w:pPr>
        <w:widowControl w:val="0"/>
        <w:autoSpaceDE w:val="0"/>
        <w:adjustRightInd w:val="0"/>
        <w:spacing w:after="0" w:line="360" w:lineRule="auto"/>
        <w:ind w:left="284" w:hanging="284"/>
        <w:jc w:val="both"/>
        <w:rPr>
          <w:noProof/>
          <w:szCs w:val="24"/>
        </w:rPr>
      </w:pPr>
      <w:r w:rsidRPr="0039737B">
        <w:rPr>
          <w:noProof/>
          <w:szCs w:val="24"/>
        </w:rPr>
        <w:t xml:space="preserve">Hu, F. B. (2011) ‘Globalization of diabetes: The role of diet, lifestyle, and genes’, </w:t>
      </w:r>
      <w:r w:rsidRPr="0039737B">
        <w:rPr>
          <w:i/>
          <w:iCs/>
          <w:noProof/>
          <w:szCs w:val="24"/>
        </w:rPr>
        <w:t>Diabetes Care</w:t>
      </w:r>
      <w:r w:rsidRPr="0039737B">
        <w:rPr>
          <w:noProof/>
          <w:szCs w:val="24"/>
        </w:rPr>
        <w:t>, 34(6), pp. 1249–1257. doi: 10.2337/dc11-0442.</w:t>
      </w:r>
    </w:p>
    <w:p w14:paraId="65B1D9EA" w14:textId="77777777" w:rsidR="00EA4E4E" w:rsidRPr="0039737B" w:rsidRDefault="00EA4E4E" w:rsidP="007B1F2D">
      <w:pPr>
        <w:widowControl w:val="0"/>
        <w:autoSpaceDE w:val="0"/>
        <w:adjustRightInd w:val="0"/>
        <w:spacing w:after="0" w:line="360" w:lineRule="auto"/>
        <w:ind w:left="284" w:hanging="284"/>
        <w:jc w:val="both"/>
        <w:rPr>
          <w:noProof/>
          <w:szCs w:val="24"/>
        </w:rPr>
      </w:pPr>
      <w:r w:rsidRPr="0039737B">
        <w:rPr>
          <w:noProof/>
          <w:szCs w:val="24"/>
        </w:rPr>
        <w:t xml:space="preserve">Jäckle, A., Gaia, A. and Baghal, T. Al (2017) </w:t>
      </w:r>
      <w:r w:rsidRPr="0039737B">
        <w:rPr>
          <w:i/>
          <w:iCs/>
          <w:noProof/>
          <w:szCs w:val="24"/>
        </w:rPr>
        <w:t>Understanding Society The UK Household Longitudinal Study Innovation Panel , Waves 1-9 , User Manual</w:t>
      </w:r>
      <w:r w:rsidRPr="0039737B">
        <w:rPr>
          <w:noProof/>
          <w:szCs w:val="24"/>
        </w:rPr>
        <w:t>.</w:t>
      </w:r>
    </w:p>
    <w:p w14:paraId="7301D7BF" w14:textId="77777777" w:rsidR="00EA4E4E" w:rsidRPr="0039737B" w:rsidRDefault="00EA4E4E" w:rsidP="007B1F2D">
      <w:pPr>
        <w:widowControl w:val="0"/>
        <w:autoSpaceDE w:val="0"/>
        <w:adjustRightInd w:val="0"/>
        <w:spacing w:after="0" w:line="360" w:lineRule="auto"/>
        <w:ind w:left="284" w:hanging="284"/>
        <w:jc w:val="both"/>
        <w:rPr>
          <w:noProof/>
          <w:szCs w:val="24"/>
        </w:rPr>
      </w:pPr>
      <w:r w:rsidRPr="0039737B">
        <w:rPr>
          <w:noProof/>
          <w:szCs w:val="24"/>
        </w:rPr>
        <w:t xml:space="preserve">Johnson, K. H., Bazargan, M. and Cherpitel, C. J. (2001) ‘Alcohol , Tobacco , and Drug Use and the Onset of Type 2 Diabetes Among Inner-city Minority Patients’, </w:t>
      </w:r>
      <w:r w:rsidRPr="0039737B">
        <w:rPr>
          <w:i/>
          <w:iCs/>
          <w:noProof/>
          <w:szCs w:val="24"/>
        </w:rPr>
        <w:t>J Am Board Fam Pract</w:t>
      </w:r>
      <w:r w:rsidRPr="0039737B">
        <w:rPr>
          <w:noProof/>
          <w:szCs w:val="24"/>
        </w:rPr>
        <w:t>, 14(6), pp. 430–436.</w:t>
      </w:r>
    </w:p>
    <w:p w14:paraId="50FC9E53" w14:textId="77777777" w:rsidR="00EA4E4E" w:rsidRPr="003A0B67" w:rsidRDefault="00EA4E4E" w:rsidP="007B1F2D">
      <w:pPr>
        <w:widowControl w:val="0"/>
        <w:autoSpaceDE w:val="0"/>
        <w:adjustRightInd w:val="0"/>
        <w:spacing w:after="0" w:line="360" w:lineRule="auto"/>
        <w:ind w:left="284" w:hanging="284"/>
        <w:jc w:val="both"/>
        <w:rPr>
          <w:noProof/>
          <w:szCs w:val="24"/>
        </w:rPr>
      </w:pPr>
      <w:r>
        <w:rPr>
          <w:noProof/>
          <w:szCs w:val="24"/>
        </w:rPr>
        <w:t xml:space="preserve"> </w:t>
      </w:r>
      <w:r w:rsidRPr="003A0B67">
        <w:rPr>
          <w:noProof/>
          <w:szCs w:val="24"/>
        </w:rPr>
        <w:t xml:space="preserve">Kasirye, O. C., Walsh, J. A., Romano, P. S., Beckett, L. A., Garcia, J. A., Elvine-Kreis, B., Bethel, J. W., and Schenker, M. B. (2005) ‘Acculturation and its association with health-risk behaviors in a rural Latina population’, </w:t>
      </w:r>
      <w:r w:rsidRPr="003A0B67">
        <w:rPr>
          <w:i/>
          <w:iCs/>
          <w:noProof/>
          <w:szCs w:val="24"/>
        </w:rPr>
        <w:t>Ethnicity and Disease</w:t>
      </w:r>
      <w:r w:rsidRPr="003A0B67">
        <w:rPr>
          <w:noProof/>
          <w:szCs w:val="24"/>
        </w:rPr>
        <w:t>, 15(4), pp. 733–739.</w:t>
      </w:r>
    </w:p>
    <w:p w14:paraId="470C2B3A" w14:textId="77777777" w:rsidR="00EA4E4E" w:rsidRPr="0039737B" w:rsidRDefault="00EA4E4E" w:rsidP="007B1F2D">
      <w:pPr>
        <w:widowControl w:val="0"/>
        <w:autoSpaceDE w:val="0"/>
        <w:adjustRightInd w:val="0"/>
        <w:spacing w:after="0" w:line="360" w:lineRule="auto"/>
        <w:ind w:left="284" w:hanging="284"/>
        <w:jc w:val="both"/>
        <w:rPr>
          <w:noProof/>
          <w:szCs w:val="24"/>
        </w:rPr>
      </w:pPr>
      <w:r>
        <w:rPr>
          <w:noProof/>
          <w:szCs w:val="24"/>
        </w:rPr>
        <w:t xml:space="preserve"> </w:t>
      </w:r>
      <w:r w:rsidRPr="0039737B">
        <w:rPr>
          <w:noProof/>
          <w:szCs w:val="24"/>
        </w:rPr>
        <w:t xml:space="preserve">Lv, N. and Cason, K. L. (2004) ‘Dietary pattern change and acculturation of Chinese Americans in Pennsylvania’, </w:t>
      </w:r>
      <w:r w:rsidRPr="0039737B">
        <w:rPr>
          <w:i/>
          <w:iCs/>
          <w:noProof/>
          <w:szCs w:val="24"/>
        </w:rPr>
        <w:t>Journal of the American Dietetic Association</w:t>
      </w:r>
      <w:r w:rsidRPr="0039737B">
        <w:rPr>
          <w:noProof/>
          <w:szCs w:val="24"/>
        </w:rPr>
        <w:t>, 104(5), pp. 771–778. doi: 10.1016/j.jada.2004.02.032.</w:t>
      </w:r>
    </w:p>
    <w:p w14:paraId="78B0D612" w14:textId="77777777" w:rsidR="00EA4E4E" w:rsidRPr="003A0B67" w:rsidRDefault="00EA4E4E" w:rsidP="007B1F2D">
      <w:pPr>
        <w:widowControl w:val="0"/>
        <w:autoSpaceDE w:val="0"/>
        <w:adjustRightInd w:val="0"/>
        <w:spacing w:after="0" w:line="360" w:lineRule="auto"/>
        <w:ind w:left="284" w:hanging="284"/>
        <w:jc w:val="both"/>
        <w:rPr>
          <w:noProof/>
          <w:szCs w:val="24"/>
        </w:rPr>
      </w:pPr>
      <w:r>
        <w:rPr>
          <w:noProof/>
          <w:szCs w:val="24"/>
        </w:rPr>
        <w:t xml:space="preserve"> </w:t>
      </w:r>
      <w:r w:rsidRPr="003A0B67">
        <w:rPr>
          <w:noProof/>
          <w:szCs w:val="24"/>
        </w:rPr>
        <w:t xml:space="preserve">Pieroni, A., Houlihan, L., Ansari, N., Hussain, B., and Aslam, S. (2007) ‘Medicinal perceptions of vegetables traditionally consumed by South-Asian migrants living in Bradford, Northern England’, </w:t>
      </w:r>
      <w:r w:rsidRPr="003A0B67">
        <w:rPr>
          <w:i/>
          <w:iCs/>
          <w:noProof/>
          <w:szCs w:val="24"/>
        </w:rPr>
        <w:t>Journal of Ethnopharmacology</w:t>
      </w:r>
      <w:r w:rsidRPr="003A0B67">
        <w:rPr>
          <w:noProof/>
          <w:szCs w:val="24"/>
        </w:rPr>
        <w:t>, 113(1), pp. 100–110. doi: 10.1016/j.jep.2007.05.009.</w:t>
      </w:r>
    </w:p>
    <w:p w14:paraId="2C1CF75B" w14:textId="77777777" w:rsidR="00EA4E4E" w:rsidRPr="0039737B" w:rsidRDefault="00EA4E4E" w:rsidP="007B1F2D">
      <w:pPr>
        <w:widowControl w:val="0"/>
        <w:autoSpaceDE w:val="0"/>
        <w:adjustRightInd w:val="0"/>
        <w:spacing w:after="0" w:line="360" w:lineRule="auto"/>
        <w:ind w:left="284" w:hanging="284"/>
        <w:jc w:val="both"/>
        <w:rPr>
          <w:noProof/>
          <w:szCs w:val="24"/>
        </w:rPr>
      </w:pPr>
      <w:r>
        <w:rPr>
          <w:noProof/>
          <w:szCs w:val="24"/>
        </w:rPr>
        <w:t xml:space="preserve"> </w:t>
      </w:r>
      <w:r w:rsidRPr="0039737B">
        <w:rPr>
          <w:noProof/>
          <w:szCs w:val="24"/>
        </w:rPr>
        <w:t xml:space="preserve">Prasad, R. B. and Groop, L. (2015) ‘Genetics of Type 2 Diabetes—Pitfalls and Possibilities’, </w:t>
      </w:r>
      <w:r w:rsidRPr="0039737B">
        <w:rPr>
          <w:i/>
          <w:iCs/>
          <w:noProof/>
          <w:szCs w:val="24"/>
        </w:rPr>
        <w:t>Genes</w:t>
      </w:r>
      <w:r w:rsidRPr="0039737B">
        <w:rPr>
          <w:noProof/>
          <w:szCs w:val="24"/>
        </w:rPr>
        <w:t>, 6(1), pp. 87–123. doi: 10.3390/genes6010087.</w:t>
      </w:r>
    </w:p>
    <w:p w14:paraId="64CBD06D" w14:textId="77777777" w:rsidR="00EA4E4E" w:rsidRPr="003A0B67" w:rsidRDefault="00EA4E4E" w:rsidP="007B1F2D">
      <w:pPr>
        <w:widowControl w:val="0"/>
        <w:autoSpaceDE w:val="0"/>
        <w:adjustRightInd w:val="0"/>
        <w:spacing w:after="0" w:line="360" w:lineRule="auto"/>
        <w:ind w:left="284" w:hanging="284"/>
        <w:jc w:val="both"/>
        <w:rPr>
          <w:szCs w:val="24"/>
          <w:shd w:val="clear" w:color="auto" w:fill="FFFFFF"/>
        </w:rPr>
      </w:pPr>
      <w:r w:rsidRPr="003A0B67">
        <w:rPr>
          <w:noProof/>
          <w:szCs w:val="24"/>
        </w:rPr>
        <w:t xml:space="preserve">Ranasinghe, C. D., Ranasinghe, P., Jayawardena, R., and Misra, A. (2013) ‘Physical activity patterns among South-Asian adults: A systematic review’, </w:t>
      </w:r>
      <w:r w:rsidRPr="003A0B67">
        <w:rPr>
          <w:i/>
          <w:iCs/>
          <w:noProof/>
          <w:szCs w:val="24"/>
        </w:rPr>
        <w:t>International Journal of Behavioral Nutrition and Physical Activity</w:t>
      </w:r>
      <w:r w:rsidRPr="003A0B67">
        <w:rPr>
          <w:noProof/>
          <w:szCs w:val="24"/>
        </w:rPr>
        <w:t>, 10(116).</w:t>
      </w:r>
      <w:r w:rsidRPr="003A0B67">
        <w:rPr>
          <w:color w:val="212121"/>
          <w:szCs w:val="24"/>
          <w:shd w:val="clear" w:color="auto" w:fill="FFFFFF"/>
        </w:rPr>
        <w:t xml:space="preserve"> </w:t>
      </w:r>
      <w:r w:rsidRPr="003A0B67">
        <w:rPr>
          <w:szCs w:val="24"/>
          <w:shd w:val="clear" w:color="auto" w:fill="FFFFFF"/>
        </w:rPr>
        <w:t xml:space="preserve">doi.org/10.1186/1479-5868-10-116 </w:t>
      </w:r>
    </w:p>
    <w:p w14:paraId="07631EA1" w14:textId="77777777" w:rsidR="00EA4E4E" w:rsidRPr="0039737B" w:rsidRDefault="00EA4E4E" w:rsidP="007B1F2D">
      <w:pPr>
        <w:widowControl w:val="0"/>
        <w:autoSpaceDE w:val="0"/>
        <w:adjustRightInd w:val="0"/>
        <w:spacing w:after="0" w:line="360" w:lineRule="auto"/>
        <w:ind w:left="284" w:hanging="284"/>
        <w:jc w:val="both"/>
        <w:rPr>
          <w:noProof/>
          <w:szCs w:val="24"/>
        </w:rPr>
      </w:pPr>
      <w:r w:rsidRPr="0039737B">
        <w:rPr>
          <w:noProof/>
          <w:szCs w:val="24"/>
        </w:rPr>
        <w:t xml:space="preserve">Wang, S. and Li, S. (2019) ‘Exploring generational differences of british ethnic minorities in smoking behavior, frequency of alcohol consumption, and dietary style’, </w:t>
      </w:r>
      <w:r w:rsidRPr="0039737B">
        <w:rPr>
          <w:i/>
          <w:iCs/>
          <w:noProof/>
          <w:szCs w:val="24"/>
        </w:rPr>
        <w:t>International Journal of Environmental Research and Public Health</w:t>
      </w:r>
      <w:r w:rsidRPr="0039737B">
        <w:rPr>
          <w:noProof/>
          <w:szCs w:val="24"/>
        </w:rPr>
        <w:t>, 16(12), pp. 517–521. doi: 10.3390/ijerph16122241.</w:t>
      </w:r>
    </w:p>
    <w:p w14:paraId="587E40DA" w14:textId="77777777" w:rsidR="007B1F2D" w:rsidRPr="003A0B67" w:rsidRDefault="00EA4E4E" w:rsidP="007B1F2D">
      <w:pPr>
        <w:widowControl w:val="0"/>
        <w:autoSpaceDE w:val="0"/>
        <w:adjustRightInd w:val="0"/>
        <w:spacing w:after="0" w:line="360" w:lineRule="auto"/>
        <w:ind w:left="284" w:hanging="284"/>
        <w:jc w:val="both"/>
        <w:rPr>
          <w:noProof/>
          <w:szCs w:val="24"/>
        </w:rPr>
      </w:pPr>
      <w:r>
        <w:rPr>
          <w:noProof/>
          <w:szCs w:val="24"/>
        </w:rPr>
        <w:t xml:space="preserve"> </w:t>
      </w:r>
      <w:r w:rsidR="007B1F2D" w:rsidRPr="003A0B67">
        <w:rPr>
          <w:noProof/>
          <w:szCs w:val="24"/>
        </w:rPr>
        <w:t xml:space="preserve">Williams, E. D., Stamatalis, E., Chandola, T., and Hamer, M. (2011) ‘Assessment of physical </w:t>
      </w:r>
      <w:r w:rsidR="007B1F2D" w:rsidRPr="003A0B67">
        <w:rPr>
          <w:noProof/>
          <w:szCs w:val="24"/>
        </w:rPr>
        <w:lastRenderedPageBreak/>
        <w:t xml:space="preserve">activity levels in South Asians in the UK: Findings from the Health Survey for England’, </w:t>
      </w:r>
      <w:r w:rsidR="007B1F2D" w:rsidRPr="003A0B67">
        <w:rPr>
          <w:i/>
          <w:iCs/>
          <w:noProof/>
          <w:szCs w:val="24"/>
        </w:rPr>
        <w:t>Journal of Epidemiology and Community Health</w:t>
      </w:r>
      <w:r w:rsidR="007B1F2D" w:rsidRPr="003A0B67">
        <w:rPr>
          <w:noProof/>
          <w:szCs w:val="24"/>
        </w:rPr>
        <w:t>, 65(6), pp. 517–521. doi: 10.1136/jech.2009.102509.</w:t>
      </w:r>
    </w:p>
    <w:p w14:paraId="7E8ACBA0" w14:textId="0E2E4339" w:rsidR="007B1F2D" w:rsidRDefault="007B1F2D" w:rsidP="007B1F2D">
      <w:pPr>
        <w:widowControl w:val="0"/>
        <w:autoSpaceDE w:val="0"/>
        <w:adjustRightInd w:val="0"/>
        <w:spacing w:after="0" w:line="360" w:lineRule="auto"/>
        <w:ind w:left="284" w:hanging="284"/>
        <w:jc w:val="both"/>
        <w:rPr>
          <w:noProof/>
          <w:szCs w:val="24"/>
        </w:rPr>
      </w:pPr>
      <w:r w:rsidRPr="003A0B67">
        <w:rPr>
          <w:noProof/>
          <w:szCs w:val="24"/>
        </w:rPr>
        <w:t xml:space="preserve">World Health Organization (2021) </w:t>
      </w:r>
      <w:r w:rsidRPr="003A0B67">
        <w:rPr>
          <w:i/>
          <w:iCs/>
          <w:noProof/>
          <w:szCs w:val="24"/>
        </w:rPr>
        <w:t>World Health Organisation, Diabetes</w:t>
      </w:r>
      <w:r w:rsidRPr="003A0B67">
        <w:rPr>
          <w:noProof/>
          <w:szCs w:val="24"/>
        </w:rPr>
        <w:t xml:space="preserve">. Available at: </w:t>
      </w:r>
      <w:r>
        <w:rPr>
          <w:noProof/>
          <w:szCs w:val="24"/>
        </w:rPr>
        <w:t xml:space="preserve"> </w:t>
      </w:r>
      <w:hyperlink r:id="rId8" w:anchor="tab=tab_1" w:history="1">
        <w:r w:rsidRPr="0031034E">
          <w:rPr>
            <w:rStyle w:val="Hyperlink"/>
            <w:noProof/>
            <w:szCs w:val="24"/>
          </w:rPr>
          <w:t>https://www.who.int/health-topics/diabetes#tab=tab_1</w:t>
        </w:r>
      </w:hyperlink>
      <w:r w:rsidRPr="003A0B67">
        <w:rPr>
          <w:noProof/>
          <w:szCs w:val="24"/>
        </w:rPr>
        <w:t>.</w:t>
      </w:r>
    </w:p>
    <w:p w14:paraId="56D8EA4F" w14:textId="77777777" w:rsidR="007B1F2D" w:rsidRPr="003A0B67" w:rsidRDefault="007B1F2D" w:rsidP="007B1F2D">
      <w:pPr>
        <w:widowControl w:val="0"/>
        <w:autoSpaceDE w:val="0"/>
        <w:adjustRightInd w:val="0"/>
        <w:spacing w:after="0" w:line="360" w:lineRule="auto"/>
        <w:ind w:left="284" w:hanging="284"/>
        <w:jc w:val="both"/>
        <w:rPr>
          <w:noProof/>
          <w:szCs w:val="24"/>
        </w:rPr>
      </w:pPr>
      <w:r w:rsidRPr="003A0B67">
        <w:rPr>
          <w:noProof/>
          <w:szCs w:val="24"/>
        </w:rPr>
        <w:t xml:space="preserve">Zhang, L., Curhan, G. C., Hu, F. B., Rimm, E. B., and Forman, J. P. </w:t>
      </w:r>
      <w:r w:rsidRPr="003A0B67">
        <w:rPr>
          <w:i/>
          <w:iCs/>
          <w:noProof/>
          <w:szCs w:val="24"/>
        </w:rPr>
        <w:t>et al.</w:t>
      </w:r>
      <w:r w:rsidRPr="003A0B67">
        <w:rPr>
          <w:noProof/>
          <w:szCs w:val="24"/>
        </w:rPr>
        <w:t xml:space="preserve"> (2011) ‘Association Between Passive and Active Smoking and Incident Type 2 Diabetes in Women’, </w:t>
      </w:r>
      <w:r w:rsidRPr="003A0B67">
        <w:rPr>
          <w:i/>
          <w:iCs/>
          <w:noProof/>
          <w:szCs w:val="24"/>
        </w:rPr>
        <w:t>Diabetes Care</w:t>
      </w:r>
      <w:r w:rsidRPr="003A0B67">
        <w:rPr>
          <w:noProof/>
          <w:szCs w:val="24"/>
        </w:rPr>
        <w:t>, 34(4), pp. 892–897. doi: 10.2337/dc10-2087.</w:t>
      </w:r>
    </w:p>
    <w:p w14:paraId="61D01530" w14:textId="1F2F8BC6" w:rsidR="007B1F2D" w:rsidRPr="003A0B67" w:rsidRDefault="007B1F2D" w:rsidP="007B1F2D">
      <w:pPr>
        <w:widowControl w:val="0"/>
        <w:autoSpaceDE w:val="0"/>
        <w:adjustRightInd w:val="0"/>
        <w:spacing w:after="0" w:line="360" w:lineRule="auto"/>
        <w:ind w:left="284" w:hanging="284"/>
        <w:jc w:val="both"/>
        <w:rPr>
          <w:noProof/>
          <w:szCs w:val="24"/>
        </w:rPr>
      </w:pPr>
      <w:r>
        <w:rPr>
          <w:noProof/>
          <w:szCs w:val="24"/>
        </w:rPr>
        <w:t xml:space="preserve"> </w:t>
      </w:r>
    </w:p>
    <w:p w14:paraId="55985073" w14:textId="2DB2B090" w:rsidR="00EA4E4E" w:rsidRPr="003A0B67" w:rsidRDefault="00EA4E4E" w:rsidP="00350345">
      <w:pPr>
        <w:widowControl w:val="0"/>
        <w:autoSpaceDE w:val="0"/>
        <w:adjustRightInd w:val="0"/>
        <w:spacing w:after="0" w:line="360" w:lineRule="auto"/>
        <w:ind w:left="284" w:hanging="284"/>
        <w:jc w:val="both"/>
        <w:rPr>
          <w:noProof/>
          <w:szCs w:val="24"/>
        </w:rPr>
      </w:pPr>
    </w:p>
    <w:p w14:paraId="3C1D0DC7" w14:textId="5D4D2ACE" w:rsidR="0039737B" w:rsidRPr="00350345" w:rsidRDefault="00350345" w:rsidP="001735BA">
      <w:pPr>
        <w:widowControl w:val="0"/>
        <w:autoSpaceDE w:val="0"/>
        <w:adjustRightInd w:val="0"/>
        <w:spacing w:after="0" w:line="360" w:lineRule="auto"/>
        <w:rPr>
          <w:b/>
          <w:bCs/>
          <w:color w:val="0E101A"/>
          <w:szCs w:val="24"/>
        </w:rPr>
      </w:pPr>
      <w:r>
        <w:rPr>
          <w:b/>
          <w:bCs/>
          <w:color w:val="0E101A"/>
          <w:szCs w:val="24"/>
        </w:rPr>
        <w:t xml:space="preserve"> </w:t>
      </w:r>
    </w:p>
    <w:p w14:paraId="2876F008" w14:textId="77777777" w:rsidR="0039737B" w:rsidRDefault="0039737B" w:rsidP="001735BA">
      <w:pPr>
        <w:widowControl w:val="0"/>
        <w:autoSpaceDE w:val="0"/>
        <w:adjustRightInd w:val="0"/>
        <w:spacing w:after="0" w:line="360" w:lineRule="auto"/>
        <w:rPr>
          <w:b/>
          <w:bCs/>
          <w:color w:val="0E101A"/>
          <w:szCs w:val="24"/>
          <w:lang w:val="en-US"/>
        </w:rPr>
      </w:pPr>
    </w:p>
    <w:p w14:paraId="39084D34" w14:textId="7E11F747" w:rsidR="00533792" w:rsidRPr="00ED04FB" w:rsidRDefault="00533792" w:rsidP="00ED04FB">
      <w:pPr>
        <w:pStyle w:val="Heading1"/>
        <w:spacing w:before="0" w:after="0" w:line="360" w:lineRule="auto"/>
        <w:jc w:val="both"/>
        <w:rPr>
          <w:b w:val="0"/>
          <w:bCs w:val="0"/>
          <w:color w:val="0E101A"/>
          <w:szCs w:val="24"/>
          <w:lang w:val="en-US"/>
        </w:rPr>
      </w:pPr>
    </w:p>
    <w:sectPr w:rsidR="00533792" w:rsidRPr="00ED04F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1A211" w14:textId="77777777" w:rsidR="00975EF9" w:rsidRDefault="00975EF9" w:rsidP="005456FF">
      <w:pPr>
        <w:spacing w:after="0"/>
      </w:pPr>
      <w:r>
        <w:separator/>
      </w:r>
    </w:p>
  </w:endnote>
  <w:endnote w:type="continuationSeparator" w:id="0">
    <w:p w14:paraId="57E288FB" w14:textId="77777777" w:rsidR="00975EF9" w:rsidRDefault="00975EF9" w:rsidP="005456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6913927"/>
      <w:docPartObj>
        <w:docPartGallery w:val="Page Numbers (Bottom of Page)"/>
        <w:docPartUnique/>
      </w:docPartObj>
    </w:sdtPr>
    <w:sdtEndPr>
      <w:rPr>
        <w:noProof/>
      </w:rPr>
    </w:sdtEndPr>
    <w:sdtContent>
      <w:p w14:paraId="7C1E47D2" w14:textId="5BBB0559" w:rsidR="005456FF" w:rsidRDefault="005456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691EC2" w14:textId="77777777" w:rsidR="005456FF" w:rsidRDefault="00545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9A09" w14:textId="77777777" w:rsidR="00975EF9" w:rsidRDefault="00975EF9" w:rsidP="005456FF">
      <w:pPr>
        <w:spacing w:after="0"/>
      </w:pPr>
      <w:r>
        <w:separator/>
      </w:r>
    </w:p>
  </w:footnote>
  <w:footnote w:type="continuationSeparator" w:id="0">
    <w:p w14:paraId="639F2B37" w14:textId="77777777" w:rsidR="00975EF9" w:rsidRDefault="00975EF9" w:rsidP="005456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E3046"/>
    <w:multiLevelType w:val="hybridMultilevel"/>
    <w:tmpl w:val="A442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DA"/>
    <w:rsid w:val="0000730C"/>
    <w:rsid w:val="00030130"/>
    <w:rsid w:val="00050240"/>
    <w:rsid w:val="00054BCA"/>
    <w:rsid w:val="0005664E"/>
    <w:rsid w:val="0006375F"/>
    <w:rsid w:val="00080724"/>
    <w:rsid w:val="00082C6E"/>
    <w:rsid w:val="000A75FA"/>
    <w:rsid w:val="000F1A5A"/>
    <w:rsid w:val="00105C28"/>
    <w:rsid w:val="001078EC"/>
    <w:rsid w:val="001735BA"/>
    <w:rsid w:val="001B487D"/>
    <w:rsid w:val="001B724E"/>
    <w:rsid w:val="002063DA"/>
    <w:rsid w:val="0023798C"/>
    <w:rsid w:val="0024597C"/>
    <w:rsid w:val="00246CEA"/>
    <w:rsid w:val="002732D4"/>
    <w:rsid w:val="002825CE"/>
    <w:rsid w:val="00293721"/>
    <w:rsid w:val="002B0EA3"/>
    <w:rsid w:val="002C7666"/>
    <w:rsid w:val="002E7846"/>
    <w:rsid w:val="00300E31"/>
    <w:rsid w:val="00306760"/>
    <w:rsid w:val="00323CA6"/>
    <w:rsid w:val="00350345"/>
    <w:rsid w:val="00352527"/>
    <w:rsid w:val="00354353"/>
    <w:rsid w:val="0035509F"/>
    <w:rsid w:val="00367E98"/>
    <w:rsid w:val="00376C6A"/>
    <w:rsid w:val="00377D4C"/>
    <w:rsid w:val="0039737B"/>
    <w:rsid w:val="003B2725"/>
    <w:rsid w:val="003C63C0"/>
    <w:rsid w:val="003D4BBB"/>
    <w:rsid w:val="003E238A"/>
    <w:rsid w:val="003E7BD7"/>
    <w:rsid w:val="003F3F50"/>
    <w:rsid w:val="003F7426"/>
    <w:rsid w:val="0043109C"/>
    <w:rsid w:val="004443B6"/>
    <w:rsid w:val="0044678F"/>
    <w:rsid w:val="00496E3D"/>
    <w:rsid w:val="004A1F08"/>
    <w:rsid w:val="004A69F2"/>
    <w:rsid w:val="004C3267"/>
    <w:rsid w:val="004C58A7"/>
    <w:rsid w:val="004D2197"/>
    <w:rsid w:val="005035BD"/>
    <w:rsid w:val="005042B3"/>
    <w:rsid w:val="00515F55"/>
    <w:rsid w:val="005206A0"/>
    <w:rsid w:val="00523118"/>
    <w:rsid w:val="00533792"/>
    <w:rsid w:val="005456FF"/>
    <w:rsid w:val="005478EB"/>
    <w:rsid w:val="00551EE2"/>
    <w:rsid w:val="00571959"/>
    <w:rsid w:val="00580352"/>
    <w:rsid w:val="005812E6"/>
    <w:rsid w:val="00590804"/>
    <w:rsid w:val="005A5BEE"/>
    <w:rsid w:val="005C5723"/>
    <w:rsid w:val="005E0047"/>
    <w:rsid w:val="005E0ACE"/>
    <w:rsid w:val="00607B7C"/>
    <w:rsid w:val="0062260F"/>
    <w:rsid w:val="00642771"/>
    <w:rsid w:val="00657EBC"/>
    <w:rsid w:val="006700F7"/>
    <w:rsid w:val="006A2731"/>
    <w:rsid w:val="006C7A95"/>
    <w:rsid w:val="007006C8"/>
    <w:rsid w:val="007023DC"/>
    <w:rsid w:val="00720A92"/>
    <w:rsid w:val="0072536F"/>
    <w:rsid w:val="00741AB7"/>
    <w:rsid w:val="007545E7"/>
    <w:rsid w:val="007549E9"/>
    <w:rsid w:val="007578DA"/>
    <w:rsid w:val="00757C15"/>
    <w:rsid w:val="007730F9"/>
    <w:rsid w:val="00773517"/>
    <w:rsid w:val="00774771"/>
    <w:rsid w:val="00786E70"/>
    <w:rsid w:val="00792EAF"/>
    <w:rsid w:val="007A14C2"/>
    <w:rsid w:val="007B1F2D"/>
    <w:rsid w:val="007E6DA7"/>
    <w:rsid w:val="007E7607"/>
    <w:rsid w:val="00813F76"/>
    <w:rsid w:val="008A6832"/>
    <w:rsid w:val="008B7FB2"/>
    <w:rsid w:val="008C3582"/>
    <w:rsid w:val="008C50FD"/>
    <w:rsid w:val="008D6C16"/>
    <w:rsid w:val="008D796A"/>
    <w:rsid w:val="008E75F7"/>
    <w:rsid w:val="008F40FA"/>
    <w:rsid w:val="008F69D1"/>
    <w:rsid w:val="00904645"/>
    <w:rsid w:val="00920BE7"/>
    <w:rsid w:val="00931931"/>
    <w:rsid w:val="00951863"/>
    <w:rsid w:val="00956D87"/>
    <w:rsid w:val="009758BF"/>
    <w:rsid w:val="00975EF9"/>
    <w:rsid w:val="00976037"/>
    <w:rsid w:val="009B025B"/>
    <w:rsid w:val="009C051E"/>
    <w:rsid w:val="00A26679"/>
    <w:rsid w:val="00A346F4"/>
    <w:rsid w:val="00A60F6A"/>
    <w:rsid w:val="00A771D9"/>
    <w:rsid w:val="00A97F71"/>
    <w:rsid w:val="00AC33FC"/>
    <w:rsid w:val="00AD6A52"/>
    <w:rsid w:val="00AF3F84"/>
    <w:rsid w:val="00AF5416"/>
    <w:rsid w:val="00B00A7E"/>
    <w:rsid w:val="00B54931"/>
    <w:rsid w:val="00B64D0B"/>
    <w:rsid w:val="00B90C7E"/>
    <w:rsid w:val="00C05D58"/>
    <w:rsid w:val="00C524E7"/>
    <w:rsid w:val="00C740AE"/>
    <w:rsid w:val="00C765F3"/>
    <w:rsid w:val="00C82D89"/>
    <w:rsid w:val="00C8341C"/>
    <w:rsid w:val="00C9056B"/>
    <w:rsid w:val="00CA5928"/>
    <w:rsid w:val="00CC30B8"/>
    <w:rsid w:val="00CF0DD8"/>
    <w:rsid w:val="00CF6EB6"/>
    <w:rsid w:val="00D1159A"/>
    <w:rsid w:val="00D1517F"/>
    <w:rsid w:val="00D5360B"/>
    <w:rsid w:val="00D81401"/>
    <w:rsid w:val="00D83A97"/>
    <w:rsid w:val="00DB4EA2"/>
    <w:rsid w:val="00DC1531"/>
    <w:rsid w:val="00DE13D4"/>
    <w:rsid w:val="00E00BDA"/>
    <w:rsid w:val="00E2406D"/>
    <w:rsid w:val="00E31749"/>
    <w:rsid w:val="00E57FDB"/>
    <w:rsid w:val="00E87112"/>
    <w:rsid w:val="00E94D6C"/>
    <w:rsid w:val="00EA0D0C"/>
    <w:rsid w:val="00EA4E4E"/>
    <w:rsid w:val="00ED04FB"/>
    <w:rsid w:val="00ED76D1"/>
    <w:rsid w:val="00F03CE1"/>
    <w:rsid w:val="00F3155A"/>
    <w:rsid w:val="00F42B78"/>
    <w:rsid w:val="00F55494"/>
    <w:rsid w:val="00F77F21"/>
    <w:rsid w:val="00F83A17"/>
    <w:rsid w:val="00F96DE9"/>
    <w:rsid w:val="00FB0470"/>
    <w:rsid w:val="00FB57F8"/>
    <w:rsid w:val="00FE5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1826F8"/>
  <w15:chartTrackingRefBased/>
  <w15:docId w15:val="{1CDC3A8D-071A-4AF3-BB42-030D4D22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8DA"/>
    <w:pPr>
      <w:suppressAutoHyphens/>
      <w:autoSpaceDN w:val="0"/>
      <w:spacing w:line="240" w:lineRule="auto"/>
      <w:textAlignment w:val="baseline"/>
    </w:pPr>
    <w:rPr>
      <w:rFonts w:ascii="Times New Roman" w:eastAsia="Calibri" w:hAnsi="Times New Roman" w:cs="Times New Roman"/>
      <w:sz w:val="24"/>
    </w:rPr>
  </w:style>
  <w:style w:type="paragraph" w:styleId="Heading1">
    <w:name w:val="heading 1"/>
    <w:basedOn w:val="Normal"/>
    <w:link w:val="Heading1Char"/>
    <w:uiPriority w:val="9"/>
    <w:qFormat/>
    <w:rsid w:val="007578DA"/>
    <w:pPr>
      <w:suppressAutoHyphens w:val="0"/>
      <w:spacing w:before="100" w:after="100"/>
      <w:textAlignment w:val="auto"/>
      <w:outlineLvl w:val="0"/>
    </w:pPr>
    <w:rPr>
      <w:rFonts w:eastAsia="Times New Roman"/>
      <w:b/>
      <w:bCs/>
      <w:kern w:val="3"/>
      <w:szCs w:val="48"/>
      <w:lang w:eastAsia="en-GB"/>
    </w:rPr>
  </w:style>
  <w:style w:type="paragraph" w:styleId="Heading2">
    <w:name w:val="heading 2"/>
    <w:basedOn w:val="Normal"/>
    <w:next w:val="Normal"/>
    <w:link w:val="Heading2Char"/>
    <w:uiPriority w:val="9"/>
    <w:unhideWhenUsed/>
    <w:qFormat/>
    <w:rsid w:val="004D2197"/>
    <w:pPr>
      <w:keepNext/>
      <w:keepLines/>
      <w:suppressAutoHyphens w:val="0"/>
      <w:spacing w:before="40" w:after="0" w:line="480" w:lineRule="auto"/>
      <w:ind w:left="576" w:hanging="576"/>
      <w:textAlignment w:val="auto"/>
      <w:outlineLvl w:val="1"/>
    </w:pPr>
    <w:rPr>
      <w:rFonts w:eastAsia="Times New Roman"/>
      <w:b/>
      <w:i/>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197"/>
    <w:rPr>
      <w:rFonts w:ascii="Times New Roman" w:eastAsia="Times New Roman" w:hAnsi="Times New Roman" w:cs="Times New Roman"/>
      <w:b/>
      <w:i/>
      <w:sz w:val="24"/>
      <w:szCs w:val="26"/>
      <w:lang w:eastAsia="en-GB"/>
    </w:rPr>
  </w:style>
  <w:style w:type="character" w:customStyle="1" w:styleId="Heading1Char">
    <w:name w:val="Heading 1 Char"/>
    <w:basedOn w:val="DefaultParagraphFont"/>
    <w:link w:val="Heading1"/>
    <w:uiPriority w:val="9"/>
    <w:rsid w:val="007578DA"/>
    <w:rPr>
      <w:rFonts w:ascii="Times New Roman" w:eastAsia="Times New Roman" w:hAnsi="Times New Roman" w:cs="Times New Roman"/>
      <w:b/>
      <w:bCs/>
      <w:kern w:val="3"/>
      <w:sz w:val="24"/>
      <w:szCs w:val="48"/>
      <w:lang w:eastAsia="en-GB"/>
    </w:rPr>
  </w:style>
  <w:style w:type="character" w:styleId="Strong">
    <w:name w:val="Strong"/>
    <w:basedOn w:val="DefaultParagraphFont"/>
    <w:uiPriority w:val="22"/>
    <w:qFormat/>
    <w:rsid w:val="007578DA"/>
    <w:rPr>
      <w:b/>
      <w:bCs/>
    </w:rPr>
  </w:style>
  <w:style w:type="paragraph" w:styleId="NormalWeb">
    <w:name w:val="Normal (Web)"/>
    <w:basedOn w:val="Normal"/>
    <w:uiPriority w:val="99"/>
    <w:rsid w:val="007578DA"/>
    <w:pPr>
      <w:suppressAutoHyphens w:val="0"/>
      <w:spacing w:before="100" w:after="100"/>
      <w:textAlignment w:val="auto"/>
    </w:pPr>
    <w:rPr>
      <w:rFonts w:eastAsia="Times New Roman"/>
      <w:szCs w:val="24"/>
      <w:lang w:val="en-US"/>
    </w:rPr>
  </w:style>
  <w:style w:type="paragraph" w:styleId="CommentText">
    <w:name w:val="annotation text"/>
    <w:basedOn w:val="Normal"/>
    <w:link w:val="CommentTextChar"/>
    <w:uiPriority w:val="99"/>
    <w:rsid w:val="007578DA"/>
    <w:rPr>
      <w:sz w:val="20"/>
      <w:szCs w:val="20"/>
    </w:rPr>
  </w:style>
  <w:style w:type="character" w:customStyle="1" w:styleId="CommentTextChar">
    <w:name w:val="Comment Text Char"/>
    <w:basedOn w:val="DefaultParagraphFont"/>
    <w:link w:val="CommentText"/>
    <w:uiPriority w:val="99"/>
    <w:rsid w:val="007578DA"/>
    <w:rPr>
      <w:rFonts w:ascii="Times New Roman" w:eastAsia="Calibri" w:hAnsi="Times New Roman" w:cs="Times New Roman"/>
      <w:sz w:val="20"/>
      <w:szCs w:val="20"/>
    </w:rPr>
  </w:style>
  <w:style w:type="character" w:styleId="Emphasis">
    <w:name w:val="Emphasis"/>
    <w:basedOn w:val="DefaultParagraphFont"/>
    <w:uiPriority w:val="20"/>
    <w:qFormat/>
    <w:rsid w:val="008D6C16"/>
    <w:rPr>
      <w:i/>
      <w:iCs/>
    </w:rPr>
  </w:style>
  <w:style w:type="character" w:styleId="CommentReference">
    <w:name w:val="annotation reference"/>
    <w:basedOn w:val="DefaultParagraphFont"/>
    <w:uiPriority w:val="99"/>
    <w:semiHidden/>
    <w:unhideWhenUsed/>
    <w:rsid w:val="00533792"/>
    <w:rPr>
      <w:sz w:val="16"/>
      <w:szCs w:val="16"/>
    </w:rPr>
  </w:style>
  <w:style w:type="paragraph" w:styleId="Header">
    <w:name w:val="header"/>
    <w:basedOn w:val="Normal"/>
    <w:link w:val="HeaderChar"/>
    <w:uiPriority w:val="99"/>
    <w:unhideWhenUsed/>
    <w:rsid w:val="005456FF"/>
    <w:pPr>
      <w:tabs>
        <w:tab w:val="center" w:pos="4513"/>
        <w:tab w:val="right" w:pos="9026"/>
      </w:tabs>
      <w:spacing w:after="0"/>
    </w:pPr>
  </w:style>
  <w:style w:type="character" w:customStyle="1" w:styleId="HeaderChar">
    <w:name w:val="Header Char"/>
    <w:basedOn w:val="DefaultParagraphFont"/>
    <w:link w:val="Header"/>
    <w:uiPriority w:val="99"/>
    <w:rsid w:val="005456FF"/>
    <w:rPr>
      <w:rFonts w:ascii="Times New Roman" w:eastAsia="Calibri" w:hAnsi="Times New Roman" w:cs="Times New Roman"/>
      <w:sz w:val="24"/>
    </w:rPr>
  </w:style>
  <w:style w:type="paragraph" w:styleId="Footer">
    <w:name w:val="footer"/>
    <w:basedOn w:val="Normal"/>
    <w:link w:val="FooterChar"/>
    <w:uiPriority w:val="99"/>
    <w:unhideWhenUsed/>
    <w:rsid w:val="005456FF"/>
    <w:pPr>
      <w:tabs>
        <w:tab w:val="center" w:pos="4513"/>
        <w:tab w:val="right" w:pos="9026"/>
      </w:tabs>
      <w:spacing w:after="0"/>
    </w:pPr>
  </w:style>
  <w:style w:type="character" w:customStyle="1" w:styleId="FooterChar">
    <w:name w:val="Footer Char"/>
    <w:basedOn w:val="DefaultParagraphFont"/>
    <w:link w:val="Footer"/>
    <w:uiPriority w:val="99"/>
    <w:rsid w:val="005456FF"/>
    <w:rPr>
      <w:rFonts w:ascii="Times New Roman" w:eastAsia="Calibri" w:hAnsi="Times New Roman" w:cs="Times New Roman"/>
      <w:sz w:val="24"/>
    </w:rPr>
  </w:style>
  <w:style w:type="paragraph" w:styleId="CommentSubject">
    <w:name w:val="annotation subject"/>
    <w:basedOn w:val="CommentText"/>
    <w:next w:val="CommentText"/>
    <w:link w:val="CommentSubjectChar"/>
    <w:uiPriority w:val="99"/>
    <w:semiHidden/>
    <w:unhideWhenUsed/>
    <w:rsid w:val="00377D4C"/>
    <w:rPr>
      <w:b/>
      <w:bCs/>
    </w:rPr>
  </w:style>
  <w:style w:type="character" w:customStyle="1" w:styleId="CommentSubjectChar">
    <w:name w:val="Comment Subject Char"/>
    <w:basedOn w:val="CommentTextChar"/>
    <w:link w:val="CommentSubject"/>
    <w:uiPriority w:val="99"/>
    <w:semiHidden/>
    <w:rsid w:val="00377D4C"/>
    <w:rPr>
      <w:rFonts w:ascii="Times New Roman" w:eastAsia="Calibri" w:hAnsi="Times New Roman" w:cs="Times New Roman"/>
      <w:b/>
      <w:bCs/>
      <w:sz w:val="20"/>
      <w:szCs w:val="20"/>
    </w:rPr>
  </w:style>
  <w:style w:type="character" w:customStyle="1" w:styleId="cf01">
    <w:name w:val="cf01"/>
    <w:basedOn w:val="DefaultParagraphFont"/>
    <w:rsid w:val="00496E3D"/>
    <w:rPr>
      <w:rFonts w:ascii="Segoe UI" w:hAnsi="Segoe UI" w:cs="Segoe UI" w:hint="default"/>
      <w:sz w:val="18"/>
      <w:szCs w:val="18"/>
    </w:rPr>
  </w:style>
  <w:style w:type="character" w:styleId="Hyperlink">
    <w:name w:val="Hyperlink"/>
    <w:basedOn w:val="DefaultParagraphFont"/>
    <w:uiPriority w:val="99"/>
    <w:unhideWhenUsed/>
    <w:rsid w:val="007B1F2D"/>
    <w:rPr>
      <w:color w:val="0563C1" w:themeColor="hyperlink"/>
      <w:u w:val="single"/>
    </w:rPr>
  </w:style>
  <w:style w:type="character" w:styleId="UnresolvedMention">
    <w:name w:val="Unresolved Mention"/>
    <w:basedOn w:val="DefaultParagraphFont"/>
    <w:uiPriority w:val="99"/>
    <w:semiHidden/>
    <w:unhideWhenUsed/>
    <w:rsid w:val="007B1F2D"/>
    <w:rPr>
      <w:color w:val="605E5C"/>
      <w:shd w:val="clear" w:color="auto" w:fill="E1DFDD"/>
    </w:rPr>
  </w:style>
  <w:style w:type="paragraph" w:styleId="BalloonText">
    <w:name w:val="Balloon Text"/>
    <w:basedOn w:val="Normal"/>
    <w:link w:val="BalloonTextChar"/>
    <w:uiPriority w:val="99"/>
    <w:semiHidden/>
    <w:unhideWhenUsed/>
    <w:rsid w:val="00920B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BE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3584">
      <w:bodyDiv w:val="1"/>
      <w:marLeft w:val="0"/>
      <w:marRight w:val="0"/>
      <w:marTop w:val="0"/>
      <w:marBottom w:val="0"/>
      <w:divBdr>
        <w:top w:val="none" w:sz="0" w:space="0" w:color="auto"/>
        <w:left w:val="none" w:sz="0" w:space="0" w:color="auto"/>
        <w:bottom w:val="none" w:sz="0" w:space="0" w:color="auto"/>
        <w:right w:val="none" w:sz="0" w:space="0" w:color="auto"/>
      </w:divBdr>
    </w:div>
    <w:div w:id="547688494">
      <w:bodyDiv w:val="1"/>
      <w:marLeft w:val="0"/>
      <w:marRight w:val="0"/>
      <w:marTop w:val="0"/>
      <w:marBottom w:val="0"/>
      <w:divBdr>
        <w:top w:val="none" w:sz="0" w:space="0" w:color="auto"/>
        <w:left w:val="none" w:sz="0" w:space="0" w:color="auto"/>
        <w:bottom w:val="none" w:sz="0" w:space="0" w:color="auto"/>
        <w:right w:val="none" w:sz="0" w:space="0" w:color="auto"/>
      </w:divBdr>
    </w:div>
    <w:div w:id="941298131">
      <w:bodyDiv w:val="1"/>
      <w:marLeft w:val="0"/>
      <w:marRight w:val="0"/>
      <w:marTop w:val="0"/>
      <w:marBottom w:val="0"/>
      <w:divBdr>
        <w:top w:val="none" w:sz="0" w:space="0" w:color="auto"/>
        <w:left w:val="none" w:sz="0" w:space="0" w:color="auto"/>
        <w:bottom w:val="none" w:sz="0" w:space="0" w:color="auto"/>
        <w:right w:val="none" w:sz="0" w:space="0" w:color="auto"/>
      </w:divBdr>
    </w:div>
    <w:div w:id="1001739087">
      <w:bodyDiv w:val="1"/>
      <w:marLeft w:val="0"/>
      <w:marRight w:val="0"/>
      <w:marTop w:val="0"/>
      <w:marBottom w:val="0"/>
      <w:divBdr>
        <w:top w:val="none" w:sz="0" w:space="0" w:color="auto"/>
        <w:left w:val="none" w:sz="0" w:space="0" w:color="auto"/>
        <w:bottom w:val="none" w:sz="0" w:space="0" w:color="auto"/>
        <w:right w:val="none" w:sz="0" w:space="0" w:color="auto"/>
      </w:divBdr>
    </w:div>
    <w:div w:id="15837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diabet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802D3C3-E569-4186-B81E-1C966D17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11252</Words>
  <Characters>64139</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Ahmed</dc:creator>
  <cp:keywords/>
  <dc:description/>
  <cp:lastModifiedBy>Amalia Tsiami</cp:lastModifiedBy>
  <cp:revision>2</cp:revision>
  <dcterms:created xsi:type="dcterms:W3CDTF">2022-05-23T17:33:00Z</dcterms:created>
  <dcterms:modified xsi:type="dcterms:W3CDTF">2022-05-23T17:33:00Z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49fd107e-9eca-3afa-9827-5ea7469f47d4</vt:lpwstr>
  </property>
  <property fmtid="{D5CDD505-2E9C-101B-9397-08002B2CF9AE}" pid="4" name="Mendeley Citation Style_1">
    <vt:lpwstr>http://www.zotero.org/styles/harvard1</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7th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